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D74FC" w14:textId="77777777" w:rsidR="00EE617E" w:rsidRDefault="00EE617E">
      <w:pPr>
        <w:rPr>
          <w:rFonts w:ascii="黑体" w:eastAsia="黑体" w:hAnsi="黑体" w:hint="eastAsia"/>
          <w:sz w:val="32"/>
          <w:szCs w:val="32"/>
        </w:rPr>
      </w:pPr>
    </w:p>
    <w:p w14:paraId="31BDD086" w14:textId="77777777" w:rsidR="00EE617E" w:rsidRDefault="00EE617E">
      <w:pPr>
        <w:jc w:val="center"/>
        <w:rPr>
          <w:rFonts w:ascii="方正小标宋_GBK" w:eastAsia="方正小标宋_GBK" w:hAnsi="宋体" w:hint="eastAsia"/>
          <w:sz w:val="44"/>
          <w:szCs w:val="44"/>
        </w:rPr>
      </w:pPr>
    </w:p>
    <w:p w14:paraId="59F56A83"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木垒哈萨克自治县人工影响天气办公室(气象灾害防御中心)</w:t>
      </w:r>
    </w:p>
    <w:p w14:paraId="37040885"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 xml:space="preserve"> 2023年度部门决算</w:t>
      </w:r>
    </w:p>
    <w:p w14:paraId="30C7A37E"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公开说明</w:t>
      </w:r>
    </w:p>
    <w:p w14:paraId="75D7F60E" w14:textId="77777777" w:rsidR="00EE617E" w:rsidRPr="003F64AF" w:rsidRDefault="00000000">
      <w:pPr>
        <w:rPr>
          <w:rFonts w:ascii="方正小标宋_GBK" w:eastAsia="方正小标宋_GBK" w:hAnsi="宋体" w:hint="eastAsia"/>
          <w:sz w:val="44"/>
          <w:szCs w:val="44"/>
        </w:rPr>
      </w:pPr>
      <w:r w:rsidRPr="003F64AF">
        <w:rPr>
          <w:rFonts w:ascii="方正小标宋_GBK" w:eastAsia="方正小标宋_GBK" w:hAnsi="宋体" w:hint="eastAsia"/>
          <w:sz w:val="44"/>
          <w:szCs w:val="44"/>
        </w:rPr>
        <w:br w:type="page"/>
      </w:r>
    </w:p>
    <w:p w14:paraId="79077CC1" w14:textId="77777777" w:rsidR="00EE617E" w:rsidRPr="003F64AF" w:rsidRDefault="00000000">
      <w:pPr>
        <w:jc w:val="center"/>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
          <w:kern w:val="0"/>
          <w:sz w:val="36"/>
          <w:szCs w:val="36"/>
        </w:rPr>
        <w:lastRenderedPageBreak/>
        <w:t>目  录</w:t>
      </w:r>
    </w:p>
    <w:p w14:paraId="2F49FA1D"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r w:rsidRPr="003F64AF">
        <w:rPr>
          <w:rFonts w:ascii="仿宋_GB2312" w:eastAsia="仿宋_GB2312" w:hAnsi="仿宋_GB2312" w:cs="仿宋_GB2312" w:hint="eastAsia"/>
          <w:sz w:val="32"/>
          <w:szCs w:val="32"/>
        </w:rPr>
        <w:fldChar w:fldCharType="begin"/>
      </w:r>
      <w:r w:rsidRPr="003F64AF">
        <w:rPr>
          <w:rFonts w:ascii="仿宋_GB2312" w:eastAsia="仿宋_GB2312" w:hAnsi="仿宋_GB2312" w:cs="仿宋_GB2312" w:hint="eastAsia"/>
          <w:sz w:val="32"/>
          <w:szCs w:val="32"/>
        </w:rPr>
        <w:instrText xml:space="preserve">TOC \o "1-3" \n  \h \u </w:instrText>
      </w:r>
      <w:r w:rsidRPr="003F64AF">
        <w:rPr>
          <w:rFonts w:ascii="仿宋_GB2312" w:eastAsia="仿宋_GB2312" w:hAnsi="仿宋_GB2312" w:cs="仿宋_GB2312" w:hint="eastAsia"/>
          <w:sz w:val="32"/>
          <w:szCs w:val="32"/>
        </w:rPr>
        <w:fldChar w:fldCharType="separate"/>
      </w:r>
      <w:hyperlink w:anchor="_Toc32314" w:history="1">
        <w:r w:rsidRPr="003F64AF">
          <w:rPr>
            <w:rFonts w:ascii="仿宋_GB2312" w:eastAsia="仿宋_GB2312" w:hAnsi="仿宋_GB2312" w:cs="仿宋_GB2312" w:hint="eastAsia"/>
            <w:b/>
            <w:bCs/>
            <w:sz w:val="32"/>
            <w:szCs w:val="32"/>
          </w:rPr>
          <w:t>第一部分 单位概况</w:t>
        </w:r>
      </w:hyperlink>
    </w:p>
    <w:p w14:paraId="440D0A12"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3F64AF">
          <w:rPr>
            <w:rFonts w:ascii="仿宋_GB2312" w:eastAsia="仿宋_GB2312" w:hAnsi="仿宋_GB2312" w:cs="仿宋_GB2312" w:hint="eastAsia"/>
            <w:bCs/>
            <w:kern w:val="0"/>
            <w:sz w:val="32"/>
            <w:szCs w:val="32"/>
          </w:rPr>
          <w:t>一、主要职能</w:t>
        </w:r>
      </w:hyperlink>
    </w:p>
    <w:p w14:paraId="43481EB8"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3F64AF">
          <w:rPr>
            <w:rFonts w:ascii="仿宋_GB2312" w:eastAsia="仿宋_GB2312" w:hAnsi="仿宋_GB2312" w:cs="仿宋_GB2312" w:hint="eastAsia"/>
            <w:bCs/>
            <w:kern w:val="0"/>
            <w:sz w:val="32"/>
            <w:szCs w:val="32"/>
          </w:rPr>
          <w:t>二、机构设置及人员情况</w:t>
        </w:r>
      </w:hyperlink>
    </w:p>
    <w:p w14:paraId="40CF4BF1"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3F64AF">
          <w:rPr>
            <w:rFonts w:ascii="仿宋_GB2312" w:eastAsia="仿宋_GB2312" w:hAnsi="仿宋_GB2312" w:cs="仿宋_GB2312" w:hint="eastAsia"/>
            <w:b/>
            <w:bCs/>
            <w:sz w:val="32"/>
            <w:szCs w:val="32"/>
          </w:rPr>
          <w:t>第二部分 部门决算情况说明</w:t>
        </w:r>
      </w:hyperlink>
    </w:p>
    <w:p w14:paraId="6BA120E2"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3F64AF">
          <w:rPr>
            <w:rFonts w:ascii="仿宋_GB2312" w:eastAsia="仿宋_GB2312" w:hAnsi="仿宋_GB2312" w:cs="仿宋_GB2312" w:hint="eastAsia"/>
            <w:bCs/>
            <w:kern w:val="0"/>
            <w:sz w:val="32"/>
            <w:szCs w:val="32"/>
          </w:rPr>
          <w:t>一、收入支出决算总体情况说明</w:t>
        </w:r>
      </w:hyperlink>
    </w:p>
    <w:p w14:paraId="1F77711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3F64AF">
          <w:rPr>
            <w:rFonts w:ascii="仿宋_GB2312" w:eastAsia="仿宋_GB2312" w:hAnsi="仿宋_GB2312" w:cs="仿宋_GB2312" w:hint="eastAsia"/>
            <w:bCs/>
            <w:kern w:val="0"/>
            <w:sz w:val="32"/>
            <w:szCs w:val="32"/>
          </w:rPr>
          <w:t>二、收入决算情况说明</w:t>
        </w:r>
      </w:hyperlink>
    </w:p>
    <w:p w14:paraId="443B5ED8"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3F64AF">
          <w:rPr>
            <w:rFonts w:ascii="仿宋_GB2312" w:eastAsia="仿宋_GB2312" w:hAnsi="仿宋_GB2312" w:cs="仿宋_GB2312" w:hint="eastAsia"/>
            <w:bCs/>
            <w:kern w:val="0"/>
            <w:sz w:val="32"/>
            <w:szCs w:val="32"/>
          </w:rPr>
          <w:t>三、支出决算情况说明</w:t>
        </w:r>
      </w:hyperlink>
    </w:p>
    <w:p w14:paraId="34B2613B"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3F64AF">
          <w:rPr>
            <w:rFonts w:ascii="仿宋_GB2312" w:eastAsia="仿宋_GB2312" w:hAnsi="仿宋_GB2312" w:cs="仿宋_GB2312" w:hint="eastAsia"/>
            <w:bCs/>
            <w:kern w:val="0"/>
            <w:sz w:val="32"/>
            <w:szCs w:val="32"/>
          </w:rPr>
          <w:t>四、财政拨款收入支出决算总体情况说明</w:t>
        </w:r>
      </w:hyperlink>
    </w:p>
    <w:p w14:paraId="3A48E954"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3F64AF">
          <w:rPr>
            <w:rFonts w:ascii="仿宋_GB2312" w:eastAsia="仿宋_GB2312" w:hAnsi="仿宋_GB2312" w:cs="仿宋_GB2312" w:hint="eastAsia"/>
            <w:bCs/>
            <w:kern w:val="0"/>
            <w:sz w:val="32"/>
            <w:szCs w:val="32"/>
          </w:rPr>
          <w:t>五、一般公共预算财政拨款支出决算情况说明</w:t>
        </w:r>
      </w:hyperlink>
    </w:p>
    <w:p w14:paraId="1A2C0DA4"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3F64AF">
          <w:rPr>
            <w:rFonts w:ascii="仿宋_GB2312" w:eastAsia="仿宋_GB2312" w:hAnsi="仿宋_GB2312" w:cs="仿宋_GB2312" w:hint="eastAsia"/>
            <w:bCs/>
            <w:kern w:val="0"/>
            <w:sz w:val="32"/>
            <w:szCs w:val="32"/>
          </w:rPr>
          <w:t>六、一般公共预算财政拨款基本支出决算情况说明</w:t>
        </w:r>
      </w:hyperlink>
    </w:p>
    <w:p w14:paraId="2714030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3F64AF">
          <w:rPr>
            <w:rFonts w:ascii="仿宋_GB2312" w:eastAsia="仿宋_GB2312" w:hAnsi="仿宋_GB2312" w:cs="仿宋_GB2312" w:hint="eastAsia"/>
            <w:bCs/>
            <w:kern w:val="0"/>
            <w:sz w:val="32"/>
            <w:szCs w:val="32"/>
          </w:rPr>
          <w:t>七、财政拨款“三公”经费支出决算情况说明</w:t>
        </w:r>
      </w:hyperlink>
    </w:p>
    <w:p w14:paraId="45C5E596"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3F64AF">
          <w:rPr>
            <w:rFonts w:ascii="仿宋_GB2312" w:eastAsia="仿宋_GB2312" w:hAnsi="仿宋_GB2312" w:cs="仿宋_GB2312" w:hint="eastAsia"/>
            <w:bCs/>
            <w:kern w:val="0"/>
            <w:sz w:val="32"/>
            <w:szCs w:val="32"/>
          </w:rPr>
          <w:t>八、政府性基金预算财政拨款收入支出决算情况说明</w:t>
        </w:r>
      </w:hyperlink>
    </w:p>
    <w:p w14:paraId="5405797E" w14:textId="77777777" w:rsidR="00EE617E" w:rsidRPr="003F64AF" w:rsidRDefault="00000000">
      <w:hyperlink w:anchor="_Toc5810" w:history="1">
        <w:r w:rsidRPr="003F64AF">
          <w:rPr>
            <w:rFonts w:ascii="仿宋_GB2312" w:eastAsia="仿宋_GB2312" w:hAnsi="仿宋_GB2312" w:cs="仿宋_GB2312" w:hint="eastAsia"/>
            <w:bCs/>
            <w:kern w:val="0"/>
            <w:sz w:val="32"/>
            <w:szCs w:val="32"/>
          </w:rPr>
          <w:t>九、国有资本经营预算财政拨款收入支出决算情况说明</w:t>
        </w:r>
      </w:hyperlink>
    </w:p>
    <w:p w14:paraId="7112B3FB"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3F64AF">
          <w:rPr>
            <w:rFonts w:ascii="仿宋_GB2312" w:eastAsia="仿宋_GB2312" w:hAnsi="仿宋_GB2312" w:cs="仿宋_GB2312" w:hint="eastAsia"/>
            <w:sz w:val="32"/>
            <w:szCs w:val="32"/>
          </w:rPr>
          <w:t>十</w:t>
        </w:r>
        <w:r w:rsidRPr="003F64AF">
          <w:rPr>
            <w:rFonts w:ascii="仿宋_GB2312" w:eastAsia="仿宋_GB2312" w:hAnsi="仿宋_GB2312" w:cs="仿宋_GB2312" w:hint="eastAsia"/>
            <w:bCs/>
            <w:kern w:val="0"/>
            <w:sz w:val="32"/>
            <w:szCs w:val="32"/>
          </w:rPr>
          <w:t>、其他重要事项的情况说明</w:t>
        </w:r>
      </w:hyperlink>
    </w:p>
    <w:p w14:paraId="758FA2E2" w14:textId="77777777" w:rsidR="00EE617E" w:rsidRPr="003F64A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3F64AF">
          <w:rPr>
            <w:rFonts w:ascii="仿宋_GB2312" w:eastAsia="仿宋_GB2312" w:hAnsi="仿宋_GB2312" w:cs="仿宋_GB2312" w:hint="eastAsia"/>
            <w:sz w:val="32"/>
            <w:szCs w:val="32"/>
          </w:rPr>
          <w:t>（一）机关运行经费支出情况</w:t>
        </w:r>
      </w:hyperlink>
    </w:p>
    <w:p w14:paraId="2268BE4D" w14:textId="77777777" w:rsidR="00EE617E" w:rsidRPr="003F64A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3F64AF">
          <w:rPr>
            <w:rFonts w:ascii="仿宋_GB2312" w:eastAsia="仿宋_GB2312" w:hAnsi="仿宋_GB2312" w:cs="仿宋_GB2312" w:hint="eastAsia"/>
            <w:sz w:val="32"/>
            <w:szCs w:val="32"/>
          </w:rPr>
          <w:t>（二）政府采购情况</w:t>
        </w:r>
      </w:hyperlink>
    </w:p>
    <w:p w14:paraId="27594FBD" w14:textId="77777777" w:rsidR="00EE617E" w:rsidRPr="003F64A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3F64AF">
          <w:rPr>
            <w:rFonts w:ascii="仿宋_GB2312" w:eastAsia="仿宋_GB2312" w:hAnsi="仿宋_GB2312" w:cs="仿宋_GB2312" w:hint="eastAsia"/>
            <w:sz w:val="32"/>
            <w:szCs w:val="32"/>
          </w:rPr>
          <w:t>（三）国有资产占用情况说明</w:t>
        </w:r>
      </w:hyperlink>
    </w:p>
    <w:p w14:paraId="2854CF3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3F64AF">
          <w:rPr>
            <w:rFonts w:ascii="仿宋_GB2312" w:eastAsia="仿宋_GB2312" w:hAnsi="仿宋_GB2312" w:cs="仿宋_GB2312" w:hint="eastAsia"/>
            <w:bCs/>
            <w:kern w:val="0"/>
            <w:sz w:val="32"/>
            <w:szCs w:val="32"/>
          </w:rPr>
          <w:t>十一、预算绩效的情况说明</w:t>
        </w:r>
      </w:hyperlink>
    </w:p>
    <w:p w14:paraId="589F3F3C"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r w:rsidRPr="003F64AF">
        <w:rPr>
          <w:rFonts w:ascii="仿宋_GB2312" w:eastAsia="仿宋_GB2312" w:hAnsi="仿宋_GB2312" w:cs="仿宋_GB2312" w:hint="eastAsia"/>
          <w:sz w:val="32"/>
          <w:szCs w:val="32"/>
        </w:rPr>
        <w:t>十二、其他需说明的事项</w:t>
      </w:r>
    </w:p>
    <w:p w14:paraId="7049C619"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3F64AF">
          <w:rPr>
            <w:rFonts w:ascii="仿宋_GB2312" w:eastAsia="仿宋_GB2312" w:hAnsi="仿宋_GB2312" w:cs="仿宋_GB2312" w:hint="eastAsia"/>
            <w:b/>
            <w:bCs/>
            <w:sz w:val="32"/>
            <w:szCs w:val="32"/>
          </w:rPr>
          <w:t>第三部分 专业名词解释</w:t>
        </w:r>
      </w:hyperlink>
    </w:p>
    <w:p w14:paraId="59419D19"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3F64AF">
          <w:rPr>
            <w:rFonts w:ascii="仿宋_GB2312" w:eastAsia="仿宋_GB2312" w:hAnsi="仿宋_GB2312" w:cs="仿宋_GB2312" w:hint="eastAsia"/>
            <w:b/>
            <w:bCs/>
            <w:sz w:val="32"/>
            <w:szCs w:val="32"/>
          </w:rPr>
          <w:t>第四部分 部门决算报表（见附表）</w:t>
        </w:r>
      </w:hyperlink>
    </w:p>
    <w:p w14:paraId="4534B733"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3F64AF">
          <w:rPr>
            <w:rFonts w:ascii="仿宋_GB2312" w:eastAsia="仿宋_GB2312" w:hAnsi="仿宋_GB2312" w:cs="仿宋_GB2312" w:hint="eastAsia"/>
            <w:bCs/>
            <w:kern w:val="0"/>
            <w:sz w:val="32"/>
            <w:szCs w:val="32"/>
          </w:rPr>
          <w:t>一、《收入支出决算总表》</w:t>
        </w:r>
      </w:hyperlink>
    </w:p>
    <w:p w14:paraId="126507A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3F64AF">
          <w:rPr>
            <w:rFonts w:ascii="仿宋_GB2312" w:eastAsia="仿宋_GB2312" w:hAnsi="仿宋_GB2312" w:cs="仿宋_GB2312" w:hint="eastAsia"/>
            <w:bCs/>
            <w:kern w:val="0"/>
            <w:sz w:val="32"/>
            <w:szCs w:val="32"/>
          </w:rPr>
          <w:t>二、《收入决算表》</w:t>
        </w:r>
      </w:hyperlink>
    </w:p>
    <w:p w14:paraId="48E4641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3F64AF">
          <w:rPr>
            <w:rFonts w:ascii="仿宋_GB2312" w:eastAsia="仿宋_GB2312" w:hAnsi="仿宋_GB2312" w:cs="仿宋_GB2312" w:hint="eastAsia"/>
            <w:bCs/>
            <w:kern w:val="0"/>
            <w:sz w:val="32"/>
            <w:szCs w:val="32"/>
          </w:rPr>
          <w:t>三、《支出决算表》</w:t>
        </w:r>
      </w:hyperlink>
    </w:p>
    <w:p w14:paraId="7CE1BECB"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3F64AF">
          <w:rPr>
            <w:rFonts w:ascii="仿宋_GB2312" w:eastAsia="仿宋_GB2312" w:hAnsi="仿宋_GB2312" w:cs="仿宋_GB2312" w:hint="eastAsia"/>
            <w:bCs/>
            <w:kern w:val="0"/>
            <w:sz w:val="32"/>
            <w:szCs w:val="32"/>
          </w:rPr>
          <w:t>四、《财政拨款收入支出决算总表》</w:t>
        </w:r>
      </w:hyperlink>
    </w:p>
    <w:p w14:paraId="7B616129"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3F64AF">
          <w:rPr>
            <w:rFonts w:ascii="仿宋_GB2312" w:eastAsia="仿宋_GB2312" w:hAnsi="仿宋_GB2312" w:cs="仿宋_GB2312" w:hint="eastAsia"/>
            <w:bCs/>
            <w:kern w:val="0"/>
            <w:sz w:val="32"/>
            <w:szCs w:val="32"/>
          </w:rPr>
          <w:t>五、《一般公共预算财政拨款支出决算表》</w:t>
        </w:r>
      </w:hyperlink>
    </w:p>
    <w:p w14:paraId="61D965F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3F64AF">
          <w:rPr>
            <w:rFonts w:ascii="仿宋_GB2312" w:eastAsia="仿宋_GB2312" w:hAnsi="仿宋_GB2312" w:cs="仿宋_GB2312" w:hint="eastAsia"/>
            <w:bCs/>
            <w:kern w:val="0"/>
            <w:sz w:val="32"/>
            <w:szCs w:val="32"/>
          </w:rPr>
          <w:t>六、《一般公共预算财政拨款基本支出决算表》</w:t>
        </w:r>
      </w:hyperlink>
    </w:p>
    <w:p w14:paraId="6C2AA41A"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3F64AF">
          <w:rPr>
            <w:rFonts w:ascii="仿宋_GB2312" w:eastAsia="仿宋_GB2312" w:hAnsi="仿宋_GB2312" w:cs="仿宋_GB2312" w:hint="eastAsia"/>
            <w:bCs/>
            <w:kern w:val="0"/>
            <w:sz w:val="32"/>
            <w:szCs w:val="32"/>
          </w:rPr>
          <w:t>七、《财政拨款“三公”经费支出决算表》</w:t>
        </w:r>
      </w:hyperlink>
    </w:p>
    <w:p w14:paraId="3AE669B0" w14:textId="77777777" w:rsidR="00EE617E" w:rsidRPr="003F64A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F64AF">
          <w:rPr>
            <w:rFonts w:ascii="仿宋_GB2312" w:eastAsia="仿宋_GB2312" w:hAnsi="仿宋_GB2312" w:cs="仿宋_GB2312" w:hint="eastAsia"/>
            <w:bCs/>
            <w:kern w:val="0"/>
            <w:sz w:val="32"/>
            <w:szCs w:val="32"/>
          </w:rPr>
          <w:t>八、《政府性基金预算财政拨款收入支出决算表》</w:t>
        </w:r>
      </w:hyperlink>
    </w:p>
    <w:p w14:paraId="347162AC" w14:textId="77777777" w:rsidR="00EE617E" w:rsidRPr="003F64AF" w:rsidRDefault="00000000">
      <w:pPr>
        <w:pStyle w:val="TOC2"/>
        <w:tabs>
          <w:tab w:val="right" w:pos="8306"/>
        </w:tabs>
        <w:ind w:leftChars="0" w:left="0"/>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Cs/>
          <w:kern w:val="0"/>
          <w:sz w:val="32"/>
          <w:szCs w:val="32"/>
        </w:rPr>
        <w:t>九、《国有资本经营预算财政拨款收入支出决算表》</w:t>
      </w:r>
    </w:p>
    <w:p w14:paraId="7CE3433D" w14:textId="77777777" w:rsidR="00EE617E" w:rsidRPr="003F64AF" w:rsidRDefault="00000000">
      <w:r w:rsidRPr="003F64AF">
        <w:rPr>
          <w:rFonts w:ascii="仿宋_GB2312" w:eastAsia="仿宋_GB2312" w:hAnsi="仿宋_GB2312" w:cs="仿宋_GB2312" w:hint="eastAsia"/>
          <w:sz w:val="32"/>
          <w:szCs w:val="32"/>
        </w:rPr>
        <w:fldChar w:fldCharType="end"/>
      </w:r>
    </w:p>
    <w:p w14:paraId="3597646F" w14:textId="77777777" w:rsidR="00EE617E" w:rsidRPr="003F64AF" w:rsidRDefault="00000000">
      <w:pPr>
        <w:rPr>
          <w:rFonts w:ascii="仿宋_GB2312" w:eastAsia="仿宋_GB2312"/>
          <w:sz w:val="32"/>
          <w:szCs w:val="32"/>
        </w:rPr>
      </w:pPr>
      <w:r w:rsidRPr="003F64AF">
        <w:rPr>
          <w:rFonts w:ascii="仿宋_GB2312" w:eastAsia="仿宋_GB2312" w:hint="eastAsia"/>
          <w:sz w:val="32"/>
          <w:szCs w:val="32"/>
        </w:rPr>
        <w:br w:type="page"/>
      </w:r>
    </w:p>
    <w:p w14:paraId="0BF4D81C" w14:textId="77777777" w:rsidR="00EE617E" w:rsidRPr="003F64AF" w:rsidRDefault="00000000">
      <w:pPr>
        <w:jc w:val="center"/>
        <w:outlineLvl w:val="0"/>
        <w:rPr>
          <w:rFonts w:ascii="黑体" w:eastAsia="黑体" w:hAnsi="黑体" w:hint="eastAsia"/>
          <w:sz w:val="32"/>
          <w:szCs w:val="32"/>
        </w:rPr>
      </w:pPr>
      <w:bookmarkStart w:id="0" w:name="_Toc24028"/>
      <w:bookmarkStart w:id="1" w:name="_Toc32314"/>
      <w:r w:rsidRPr="003F64AF">
        <w:rPr>
          <w:rFonts w:ascii="黑体" w:eastAsia="黑体" w:hAnsi="黑体" w:hint="eastAsia"/>
          <w:sz w:val="32"/>
          <w:szCs w:val="32"/>
        </w:rPr>
        <w:lastRenderedPageBreak/>
        <w:t>第一部分 单位概况</w:t>
      </w:r>
      <w:bookmarkEnd w:id="0"/>
      <w:bookmarkEnd w:id="1"/>
    </w:p>
    <w:p w14:paraId="4B135F39"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F64AF">
        <w:rPr>
          <w:rFonts w:ascii="黑体" w:eastAsia="黑体" w:hAnsi="黑体" w:cs="宋体" w:hint="eastAsia"/>
          <w:bCs/>
          <w:kern w:val="0"/>
          <w:sz w:val="32"/>
          <w:szCs w:val="32"/>
        </w:rPr>
        <w:t>一、主要职能</w:t>
      </w:r>
      <w:bookmarkEnd w:id="2"/>
      <w:bookmarkEnd w:id="3"/>
    </w:p>
    <w:p w14:paraId="7D1B4FC0" w14:textId="36A6099A"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1.贯彻执行国家、木垒县人民政府有关人工影响天气工作的方针政策、指导思想和基本原则；落实木垒县人民政府、木垒县气象局有关人工影响天气工作的计划、部署和指示。</w:t>
      </w:r>
    </w:p>
    <w:p w14:paraId="1BCF8073" w14:textId="0081F988"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2.负责木垒县人工影响天气工作的组织、管理和指导；负责制定木垒县人工影响天气工作的发展规划和计划，并组织实施。</w:t>
      </w:r>
    </w:p>
    <w:p w14:paraId="027F6D75" w14:textId="012C135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3.负责木垒县人工影响天气工作的法规建设；负责制定人工影响天气有关规章制度并监督执行；人工影响天气安全生产管理工作。</w:t>
      </w:r>
    </w:p>
    <w:p w14:paraId="6D96E563" w14:textId="7FB52B64"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4.负责职责范围内行政许可项目的上报。强化“三证”制度的管理；负责木垒县人工影响天气作业装备的技术保障。</w:t>
      </w:r>
    </w:p>
    <w:p w14:paraId="50EAF689"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5.负责木垒县人工增雨（雪）工作的组织、协调和实施；做好突发事件的人工影响天气应急工作。</w:t>
      </w:r>
    </w:p>
    <w:p w14:paraId="6100C201" w14:textId="644E98F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6.负责木垒县人工影响天气业务建设的组织、管理和实施；负责木垒县人工影响天气。</w:t>
      </w:r>
    </w:p>
    <w:p w14:paraId="751F9134" w14:textId="364FC68D"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7.负责木垒县人工影响天气新技术、新装备的引进、推广应用和技术服务。</w:t>
      </w:r>
    </w:p>
    <w:p w14:paraId="571266DC" w14:textId="2D80E23F"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8.负责木垒县人工影响天气专项经费的日常管理。</w:t>
      </w:r>
    </w:p>
    <w:p w14:paraId="7800E035" w14:textId="44744841"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9.负责组织木垒县人工影响天气工作的人员培训。</w:t>
      </w:r>
    </w:p>
    <w:p w14:paraId="54A64CBC"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lastRenderedPageBreak/>
        <w:t>10.承办木垒县人民政府、木垒县气象局交办的其它事项。</w:t>
      </w:r>
    </w:p>
    <w:p w14:paraId="3CCD51EA"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F64AF">
        <w:rPr>
          <w:rFonts w:ascii="黑体" w:eastAsia="黑体" w:hAnsi="黑体" w:cs="宋体" w:hint="eastAsia"/>
          <w:bCs/>
          <w:kern w:val="0"/>
          <w:sz w:val="32"/>
          <w:szCs w:val="32"/>
        </w:rPr>
        <w:t>二、机构设置及</w:t>
      </w:r>
      <w:bookmarkEnd w:id="4"/>
      <w:r w:rsidRPr="003F64AF">
        <w:rPr>
          <w:rFonts w:ascii="黑体" w:eastAsia="黑体" w:hAnsi="黑体" w:cs="宋体" w:hint="eastAsia"/>
          <w:bCs/>
          <w:kern w:val="0"/>
          <w:sz w:val="32"/>
          <w:szCs w:val="32"/>
        </w:rPr>
        <w:t>人员情况</w:t>
      </w:r>
      <w:bookmarkEnd w:id="5"/>
    </w:p>
    <w:p w14:paraId="2BCC541A" w14:textId="77777777" w:rsidR="00EE617E" w:rsidRPr="003F64AF" w:rsidRDefault="00000000">
      <w:pPr>
        <w:ind w:firstLineChars="200" w:firstLine="640"/>
        <w:jc w:val="left"/>
        <w:rPr>
          <w:rFonts w:ascii="仿宋_GB2312" w:eastAsia="仿宋_GB2312" w:hAnsi="仿宋_GB2312" w:cs="仿宋_GB2312" w:hint="eastAsia"/>
          <w:b/>
          <w:sz w:val="32"/>
          <w:szCs w:val="32"/>
        </w:rPr>
      </w:pPr>
      <w:r w:rsidRPr="003F64AF">
        <w:rPr>
          <w:rFonts w:ascii="仿宋_GB2312" w:eastAsia="仿宋_GB2312" w:hint="eastAsia"/>
          <w:sz w:val="32"/>
          <w:szCs w:val="32"/>
        </w:rPr>
        <w:t>木垒哈萨克自治县人工影响天气办公室(气象灾害防御中心)2023年度，实有人数</w:t>
      </w:r>
      <w:r w:rsidRPr="003F64AF">
        <w:rPr>
          <w:rFonts w:ascii="仿宋_GB2312" w:eastAsia="仿宋_GB2312" w:hint="eastAsia"/>
          <w:sz w:val="32"/>
          <w:szCs w:val="32"/>
          <w:lang w:val="zh-CN"/>
        </w:rPr>
        <w:t>2</w:t>
      </w:r>
      <w:r w:rsidRPr="003F64AF">
        <w:rPr>
          <w:rFonts w:ascii="仿宋_GB2312" w:eastAsia="仿宋_GB2312" w:hint="eastAsia"/>
          <w:sz w:val="32"/>
          <w:szCs w:val="32"/>
        </w:rPr>
        <w:t>人，其中：在职人员</w:t>
      </w:r>
      <w:r w:rsidRPr="003F64AF">
        <w:rPr>
          <w:rFonts w:ascii="仿宋_GB2312" w:eastAsia="仿宋_GB2312" w:hint="eastAsia"/>
          <w:sz w:val="32"/>
          <w:szCs w:val="32"/>
          <w:lang w:val="zh-CN"/>
        </w:rPr>
        <w:t>2</w:t>
      </w:r>
      <w:r w:rsidRPr="003F64AF">
        <w:rPr>
          <w:rFonts w:ascii="仿宋_GB2312" w:eastAsia="仿宋_GB2312" w:hint="eastAsia"/>
          <w:sz w:val="32"/>
          <w:szCs w:val="32"/>
        </w:rPr>
        <w:t>人，离休人员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人，退休人员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w:t>
      </w:r>
    </w:p>
    <w:p w14:paraId="72F93A27" w14:textId="3C04B663" w:rsidR="00EE617E" w:rsidRPr="003F64AF" w:rsidRDefault="00000000" w:rsidP="00850153">
      <w:pPr>
        <w:ind w:firstLineChars="200" w:firstLine="640"/>
        <w:rPr>
          <w:rFonts w:ascii="仿宋_GB2312" w:eastAsia="仿宋_GB2312"/>
          <w:sz w:val="32"/>
          <w:szCs w:val="32"/>
        </w:rPr>
        <w:sectPr w:rsidR="00EE617E" w:rsidRPr="003F64AF">
          <w:footerReference w:type="default" r:id="rId8"/>
          <w:pgSz w:w="11906" w:h="16838"/>
          <w:pgMar w:top="1440" w:right="1800" w:bottom="1440" w:left="1800" w:header="851" w:footer="992" w:gutter="0"/>
          <w:cols w:space="720"/>
          <w:docGrid w:type="lines" w:linePitch="312"/>
        </w:sectPr>
      </w:pPr>
      <w:r w:rsidRPr="003F64AF">
        <w:rPr>
          <w:rFonts w:ascii="仿宋_GB2312" w:eastAsia="仿宋_GB2312" w:hAnsi="黑体" w:cs="宋体" w:hint="eastAsia"/>
          <w:bCs/>
          <w:kern w:val="0"/>
          <w:sz w:val="32"/>
          <w:szCs w:val="32"/>
        </w:rPr>
        <w:t>单位无下属预算单位，下设</w:t>
      </w:r>
      <w:r w:rsidR="00850153" w:rsidRPr="003F64AF">
        <w:rPr>
          <w:rFonts w:ascii="仿宋_GB2312" w:eastAsia="仿宋_GB2312" w:hint="eastAsia"/>
          <w:sz w:val="32"/>
          <w:szCs w:val="32"/>
        </w:rPr>
        <w:t>1</w:t>
      </w:r>
      <w:r w:rsidRPr="003F64AF">
        <w:rPr>
          <w:rFonts w:ascii="仿宋_GB2312" w:eastAsia="仿宋_GB2312" w:hAnsi="黑体" w:cs="宋体" w:hint="eastAsia"/>
          <w:bCs/>
          <w:kern w:val="0"/>
          <w:sz w:val="32"/>
          <w:szCs w:val="32"/>
        </w:rPr>
        <w:t>个处室，分别是：</w:t>
      </w:r>
      <w:r w:rsidR="00850153" w:rsidRPr="003F64AF">
        <w:rPr>
          <w:rFonts w:ascii="仿宋_GB2312" w:eastAsia="仿宋_GB2312" w:hAnsi="宋体" w:cs="宋体" w:hint="eastAsia"/>
          <w:kern w:val="0"/>
          <w:sz w:val="32"/>
          <w:szCs w:val="32"/>
        </w:rPr>
        <w:t>办公室</w:t>
      </w:r>
      <w:r w:rsidRPr="003F64AF">
        <w:rPr>
          <w:rFonts w:ascii="仿宋_GB2312" w:eastAsia="仿宋_GB2312" w:hAnsi="宋体" w:cs="宋体" w:hint="eastAsia"/>
          <w:kern w:val="0"/>
          <w:sz w:val="32"/>
          <w:szCs w:val="32"/>
        </w:rPr>
        <w:t>。</w:t>
      </w:r>
    </w:p>
    <w:p w14:paraId="5E38E19A" w14:textId="77777777" w:rsidR="00EE617E" w:rsidRPr="003F64AF" w:rsidRDefault="00000000">
      <w:pPr>
        <w:jc w:val="center"/>
        <w:outlineLvl w:val="0"/>
        <w:rPr>
          <w:rFonts w:ascii="黑体" w:eastAsia="黑体" w:hAnsi="黑体" w:hint="eastAsia"/>
          <w:sz w:val="32"/>
          <w:szCs w:val="32"/>
        </w:rPr>
      </w:pPr>
      <w:bookmarkStart w:id="6" w:name="_Toc3092"/>
      <w:bookmarkStart w:id="7" w:name="_Toc29374"/>
      <w:r w:rsidRPr="003F64AF">
        <w:rPr>
          <w:rFonts w:ascii="黑体" w:eastAsia="黑体" w:hAnsi="黑体" w:hint="eastAsia"/>
          <w:sz w:val="32"/>
          <w:szCs w:val="32"/>
        </w:rPr>
        <w:lastRenderedPageBreak/>
        <w:t>第二部分 部门决算情况说明</w:t>
      </w:r>
      <w:bookmarkEnd w:id="6"/>
      <w:bookmarkEnd w:id="7"/>
    </w:p>
    <w:p w14:paraId="4733BF77"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3F64AF">
        <w:rPr>
          <w:rFonts w:ascii="黑体" w:eastAsia="黑体" w:hAnsi="黑体" w:cs="宋体" w:hint="eastAsia"/>
          <w:bCs/>
          <w:kern w:val="0"/>
          <w:sz w:val="32"/>
          <w:szCs w:val="32"/>
        </w:rPr>
        <w:t>一、收入支出决算总体情况说明</w:t>
      </w:r>
      <w:bookmarkEnd w:id="8"/>
      <w:bookmarkEnd w:id="9"/>
    </w:p>
    <w:p w14:paraId="27450F00"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2023年度收入总计167.88万元，其中：本年收入合计167.88万元，使用非财政拨款结余0.00万元，年初结转和结余0.00万元。</w:t>
      </w:r>
    </w:p>
    <w:p w14:paraId="1F5D338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2023年度支出总计167.88万元，其中：本年支出合计167.88万元，结余分配0.00万元，年末结转和结余0.00万元。</w:t>
      </w:r>
    </w:p>
    <w:p w14:paraId="558E117D" w14:textId="7F7E2392"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收入支出总体与上年相比，</w:t>
      </w:r>
      <w:r w:rsidRPr="003F64AF">
        <w:rPr>
          <w:rFonts w:ascii="仿宋_GB2312" w:eastAsia="仿宋_GB2312" w:hint="eastAsia"/>
          <w:sz w:val="32"/>
          <w:szCs w:val="32"/>
          <w:lang w:val="zh-CN"/>
        </w:rPr>
        <w:t>减少15.55万元</w:t>
      </w:r>
      <w:r w:rsidRPr="003F64AF">
        <w:rPr>
          <w:rFonts w:ascii="仿宋_GB2312" w:eastAsia="仿宋_GB2312" w:hint="eastAsia"/>
          <w:sz w:val="32"/>
          <w:szCs w:val="32"/>
        </w:rPr>
        <w:t>，下降8.48%，主要原因是：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4641CDA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F64AF">
        <w:rPr>
          <w:rFonts w:ascii="黑体" w:eastAsia="黑体" w:hAnsi="黑体" w:cs="宋体" w:hint="eastAsia"/>
          <w:bCs/>
          <w:kern w:val="0"/>
          <w:sz w:val="32"/>
          <w:szCs w:val="32"/>
        </w:rPr>
        <w:t>二、收入决算情况说明</w:t>
      </w:r>
      <w:bookmarkEnd w:id="10"/>
      <w:bookmarkEnd w:id="11"/>
    </w:p>
    <w:p w14:paraId="657ACF43"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本年收入167.88万元，其中：财政拨款收入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万元，占</w:t>
      </w:r>
      <w:r w:rsidRPr="003F64AF">
        <w:rPr>
          <w:rFonts w:ascii="仿宋_GB2312" w:eastAsia="仿宋_GB2312" w:hint="eastAsia"/>
          <w:sz w:val="32"/>
          <w:szCs w:val="32"/>
          <w:lang w:val="zh-CN"/>
        </w:rPr>
        <w:t>100.00</w:t>
      </w:r>
      <w:r w:rsidRPr="003F64AF">
        <w:rPr>
          <w:rFonts w:ascii="仿宋_GB2312" w:eastAsia="仿宋_GB2312" w:hint="eastAsia"/>
          <w:sz w:val="32"/>
          <w:szCs w:val="32"/>
        </w:rPr>
        <w:t>%；上级补助收入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%；事业收入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%；经营收入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%；附属单位上缴收入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%；其他收入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w:t>
      </w:r>
    </w:p>
    <w:p w14:paraId="336E3081"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3F64AF">
        <w:rPr>
          <w:rFonts w:ascii="黑体" w:eastAsia="黑体" w:hAnsi="黑体" w:cs="宋体" w:hint="eastAsia"/>
          <w:bCs/>
          <w:kern w:val="0"/>
          <w:sz w:val="32"/>
          <w:szCs w:val="32"/>
        </w:rPr>
        <w:t>三、支出决算情况说明</w:t>
      </w:r>
      <w:bookmarkEnd w:id="12"/>
      <w:bookmarkEnd w:id="13"/>
    </w:p>
    <w:p w14:paraId="2547A5AC"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本年支出167.88万元，其中：基本支出167.88万元，占100.00%；项目支出0.00万元，占0.00%；上缴上级支出0.00万元，占0.00%；经营支出0.00万元，占0.00%；对附属单位补助支出0.00万元，占0.00%。</w:t>
      </w:r>
    </w:p>
    <w:p w14:paraId="48AB8509"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F64AF">
        <w:rPr>
          <w:rFonts w:ascii="黑体" w:eastAsia="黑体" w:hAnsi="黑体" w:cs="宋体" w:hint="eastAsia"/>
          <w:bCs/>
          <w:kern w:val="0"/>
          <w:sz w:val="32"/>
          <w:szCs w:val="32"/>
        </w:rPr>
        <w:t>四、财政拨款收入支出决算总体情况说明</w:t>
      </w:r>
      <w:bookmarkEnd w:id="14"/>
      <w:bookmarkEnd w:id="15"/>
    </w:p>
    <w:p w14:paraId="771B840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2023年度财政拨款收入总计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万元，其中：年初财政拨款结转和结余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万元。财政拨款支出总计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万元，其中：年末财政拨款结转和结余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万元，本年财政拨款支出</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w:t>
      </w:r>
    </w:p>
    <w:p w14:paraId="75A517F8" w14:textId="46DFA396"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财政拨款收入支出总体与上年相比,</w:t>
      </w:r>
      <w:r w:rsidRPr="003F64AF">
        <w:rPr>
          <w:rFonts w:ascii="仿宋_GB2312" w:eastAsia="仿宋_GB2312" w:hint="eastAsia"/>
          <w:sz w:val="32"/>
          <w:szCs w:val="32"/>
          <w:lang w:val="zh-CN"/>
        </w:rPr>
        <w:t>减少15.55万元</w:t>
      </w:r>
      <w:r w:rsidRPr="003F64AF">
        <w:rPr>
          <w:rFonts w:ascii="仿宋_GB2312" w:eastAsia="仿宋_GB2312" w:hint="eastAsia"/>
          <w:sz w:val="32"/>
          <w:szCs w:val="32"/>
        </w:rPr>
        <w:t>，下降8.48%,主要原因是：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万元，预决算差异率-15.53%，主要原因是：</w:t>
      </w:r>
      <w:r w:rsidR="00D21666"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5995890B"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F64AF">
        <w:rPr>
          <w:rFonts w:ascii="黑体" w:eastAsia="黑体" w:hAnsi="黑体" w:cs="宋体" w:hint="eastAsia"/>
          <w:bCs/>
          <w:kern w:val="0"/>
          <w:sz w:val="32"/>
          <w:szCs w:val="32"/>
        </w:rPr>
        <w:t>五、一般公共预算财政拨款支出决算情况说明</w:t>
      </w:r>
      <w:bookmarkEnd w:id="16"/>
      <w:bookmarkEnd w:id="17"/>
    </w:p>
    <w:p w14:paraId="58B73FE3"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（一）一般公共预算财政拨款支出决算总体情况</w:t>
      </w:r>
    </w:p>
    <w:p w14:paraId="091ADFF4" w14:textId="1452022C" w:rsidR="00EE617E" w:rsidRPr="003F64AF" w:rsidRDefault="00000000">
      <w:pPr>
        <w:spacing w:line="600" w:lineRule="exact"/>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2023年度一般公共预算财政拨款支出167.88万元，占本年支出合计的</w:t>
      </w:r>
      <w:r w:rsidRPr="003F64AF">
        <w:rPr>
          <w:rFonts w:ascii="仿宋_GB2312" w:eastAsia="仿宋_GB2312" w:hint="eastAsia"/>
          <w:sz w:val="32"/>
          <w:szCs w:val="32"/>
          <w:lang w:val="zh-CN"/>
        </w:rPr>
        <w:t>100.00%</w:t>
      </w:r>
      <w:r w:rsidRPr="003F64AF">
        <w:rPr>
          <w:rFonts w:ascii="仿宋_GB2312" w:eastAsia="仿宋_GB2312" w:hint="eastAsia"/>
          <w:sz w:val="32"/>
          <w:szCs w:val="32"/>
        </w:rPr>
        <w:t>。与上年相比，</w:t>
      </w:r>
      <w:r w:rsidRPr="003F64AF">
        <w:rPr>
          <w:rFonts w:ascii="仿宋_GB2312" w:eastAsia="仿宋_GB2312" w:hint="eastAsia"/>
          <w:sz w:val="32"/>
          <w:szCs w:val="32"/>
          <w:lang w:val="zh-CN"/>
        </w:rPr>
        <w:t>减少15.55万元</w:t>
      </w:r>
      <w:r w:rsidRPr="003F64AF">
        <w:rPr>
          <w:rFonts w:ascii="仿宋_GB2312" w:eastAsia="仿宋_GB2312" w:hint="eastAsia"/>
          <w:sz w:val="32"/>
          <w:szCs w:val="32"/>
        </w:rPr>
        <w:t>，下降8.48%,主要原因是：</w:t>
      </w:r>
      <w:r w:rsidR="00D44917"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w:t>
      </w:r>
      <w:r w:rsidRPr="003F64AF">
        <w:rPr>
          <w:rFonts w:ascii="仿宋_GB2312" w:eastAsia="仿宋_GB2312" w:hint="eastAsia"/>
          <w:sz w:val="32"/>
          <w:szCs w:val="32"/>
          <w:lang w:val="zh-CN"/>
        </w:rPr>
        <w:t>-15.53%</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w:t>
      </w:r>
      <w:r w:rsidR="00D21666"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670E4A1D" w14:textId="77777777" w:rsidR="00EE617E" w:rsidRPr="003F64AF" w:rsidRDefault="00000000">
      <w:pPr>
        <w:numPr>
          <w:ilvl w:val="0"/>
          <w:numId w:val="1"/>
        </w:num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一般公共预算财政拨款支出决算结构情况</w:t>
      </w:r>
    </w:p>
    <w:p w14:paraId="73F8B634" w14:textId="0AC6AC6F"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1</w:t>
      </w:r>
      <w:r w:rsidRPr="003F64AF">
        <w:rPr>
          <w:rFonts w:ascii="仿宋_GB2312" w:eastAsia="仿宋_GB2312"/>
          <w:kern w:val="2"/>
          <w:sz w:val="32"/>
          <w:szCs w:val="32"/>
          <w:lang w:val="zh-CN"/>
        </w:rPr>
        <w:t>.社会保障和就业支出（类）</w:t>
      </w:r>
      <w:r w:rsidRPr="003F64AF">
        <w:rPr>
          <w:rFonts w:ascii="仿宋_GB2312" w:eastAsia="仿宋_GB2312" w:hint="eastAsia"/>
          <w:kern w:val="2"/>
          <w:sz w:val="32"/>
          <w:szCs w:val="32"/>
          <w:lang w:val="zh-CN"/>
        </w:rPr>
        <w:t>2.46</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1.47</w:t>
      </w:r>
      <w:r w:rsidRPr="003F64AF">
        <w:rPr>
          <w:rFonts w:ascii="仿宋_GB2312" w:eastAsia="仿宋_GB2312"/>
          <w:kern w:val="2"/>
          <w:sz w:val="32"/>
          <w:szCs w:val="32"/>
          <w:lang w:val="zh-CN"/>
        </w:rPr>
        <w:t>%；</w:t>
      </w:r>
    </w:p>
    <w:p w14:paraId="675C0CB9" w14:textId="489DDDCC"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w:t>
      </w:r>
      <w:r w:rsidRPr="003F64AF">
        <w:rPr>
          <w:rFonts w:ascii="仿宋_GB2312" w:eastAsia="仿宋_GB2312"/>
          <w:kern w:val="2"/>
          <w:sz w:val="32"/>
          <w:szCs w:val="32"/>
          <w:lang w:val="zh-CN"/>
        </w:rPr>
        <w:t>.农林水支出（类）</w:t>
      </w:r>
      <w:r w:rsidRPr="003F64AF">
        <w:rPr>
          <w:rFonts w:ascii="仿宋_GB2312" w:eastAsia="仿宋_GB2312" w:hint="eastAsia"/>
          <w:kern w:val="2"/>
          <w:sz w:val="32"/>
          <w:szCs w:val="32"/>
          <w:lang w:val="zh-CN"/>
        </w:rPr>
        <w:t>163.48</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97.38</w:t>
      </w:r>
      <w:r w:rsidRPr="003F64AF">
        <w:rPr>
          <w:rFonts w:ascii="仿宋_GB2312" w:eastAsia="仿宋_GB2312"/>
          <w:kern w:val="2"/>
          <w:sz w:val="32"/>
          <w:szCs w:val="32"/>
          <w:lang w:val="zh-CN"/>
        </w:rPr>
        <w:t>%；</w:t>
      </w:r>
    </w:p>
    <w:p w14:paraId="7A9D29AE" w14:textId="0473028D"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w:t>
      </w:r>
      <w:r w:rsidRPr="003F64AF">
        <w:rPr>
          <w:rFonts w:ascii="仿宋_GB2312" w:eastAsia="仿宋_GB2312"/>
          <w:kern w:val="2"/>
          <w:sz w:val="32"/>
          <w:szCs w:val="32"/>
          <w:lang w:val="zh-CN"/>
        </w:rPr>
        <w:t>.住房保障支出（类）</w:t>
      </w:r>
      <w:r w:rsidRPr="003F64AF">
        <w:rPr>
          <w:rFonts w:ascii="仿宋_GB2312" w:eastAsia="仿宋_GB2312" w:hint="eastAsia"/>
          <w:kern w:val="2"/>
          <w:sz w:val="32"/>
          <w:szCs w:val="32"/>
          <w:lang w:val="zh-CN"/>
        </w:rPr>
        <w:t>1.93</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1.15</w:t>
      </w:r>
      <w:r w:rsidRPr="003F64AF">
        <w:rPr>
          <w:rFonts w:ascii="仿宋_GB2312" w:eastAsia="仿宋_GB2312"/>
          <w:kern w:val="2"/>
          <w:sz w:val="32"/>
          <w:szCs w:val="32"/>
          <w:lang w:val="zh-CN"/>
        </w:rPr>
        <w:t>%</w:t>
      </w:r>
      <w:r w:rsidR="00D44917" w:rsidRPr="003F64AF">
        <w:rPr>
          <w:rFonts w:ascii="仿宋_GB2312" w:eastAsia="仿宋_GB2312" w:hint="eastAsia"/>
          <w:kern w:val="2"/>
          <w:sz w:val="32"/>
          <w:szCs w:val="32"/>
          <w:lang w:val="zh-CN"/>
        </w:rPr>
        <w:t>。</w:t>
      </w:r>
    </w:p>
    <w:p w14:paraId="742F9C16"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（三）一般公共预算财政拨款支出决算具体情况</w:t>
      </w:r>
    </w:p>
    <w:p w14:paraId="6183DF2B" w14:textId="704B0629"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lastRenderedPageBreak/>
        <w:t>1.农林水支出（类）农业农村（款）事业运行（项）:支出决算数为163.48万元，比上年决算增加127.87万元，增长359.10%，主要原因是：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，相应人员工资、津贴补贴、奖金</w:t>
      </w:r>
      <w:r w:rsidR="00D21666">
        <w:rPr>
          <w:rFonts w:ascii="仿宋_GB2312" w:eastAsia="仿宋_GB2312" w:hint="eastAsia"/>
          <w:kern w:val="2"/>
          <w:sz w:val="32"/>
          <w:szCs w:val="32"/>
          <w:lang w:val="zh-CN"/>
        </w:rPr>
        <w:t>增加</w:t>
      </w:r>
      <w:r w:rsidRPr="003F64AF">
        <w:rPr>
          <w:rFonts w:ascii="仿宋_GB2312" w:eastAsia="仿宋_GB2312" w:hint="eastAsia"/>
          <w:kern w:val="2"/>
          <w:sz w:val="32"/>
          <w:szCs w:val="32"/>
          <w:lang w:val="zh-CN"/>
        </w:rPr>
        <w:t>。</w:t>
      </w:r>
    </w:p>
    <w:p w14:paraId="1B15531C" w14:textId="2ED50EB5"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2.住房保障支出（类）住房改革支出（款）住房公积金（项）:支出决算数为1.93万元，比上年决算增加0.14万元，增长8.02%，主要原因是：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公积金缴费</w:t>
      </w:r>
      <w:r w:rsidR="00D21666">
        <w:rPr>
          <w:rFonts w:ascii="仿宋_GB2312" w:eastAsia="仿宋_GB2312" w:hint="eastAsia"/>
          <w:kern w:val="2"/>
          <w:sz w:val="32"/>
          <w:szCs w:val="32"/>
          <w:lang w:val="zh-CN"/>
        </w:rPr>
        <w:t>增加</w:t>
      </w:r>
      <w:r w:rsidRPr="003F64AF">
        <w:rPr>
          <w:rFonts w:ascii="仿宋_GB2312" w:eastAsia="仿宋_GB2312" w:hint="eastAsia"/>
          <w:kern w:val="2"/>
          <w:sz w:val="32"/>
          <w:szCs w:val="32"/>
          <w:lang w:val="zh-CN"/>
        </w:rPr>
        <w:t>。</w:t>
      </w:r>
    </w:p>
    <w:p w14:paraId="1C220E86" w14:textId="30F11359"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3.社会保障和就业支出（类）行政事业单位养老支出（款）机关事业单位基本养老保险缴费支出（项）:支出决算数为2.46万元，比上年决算增加0.35万元，增长16.39%，主要原因是：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养老保险缴费</w:t>
      </w:r>
      <w:r w:rsidR="00D21666">
        <w:rPr>
          <w:rFonts w:ascii="仿宋_GB2312" w:eastAsia="仿宋_GB2312" w:hint="eastAsia"/>
          <w:kern w:val="2"/>
          <w:sz w:val="32"/>
          <w:szCs w:val="32"/>
          <w:lang w:val="zh-CN"/>
        </w:rPr>
        <w:t>增加</w:t>
      </w:r>
      <w:r w:rsidRPr="003F64AF">
        <w:rPr>
          <w:rFonts w:ascii="仿宋_GB2312" w:eastAsia="仿宋_GB2312" w:hint="eastAsia"/>
          <w:kern w:val="2"/>
          <w:sz w:val="32"/>
          <w:szCs w:val="32"/>
          <w:lang w:val="zh-CN"/>
        </w:rPr>
        <w:t>。</w:t>
      </w:r>
    </w:p>
    <w:p w14:paraId="6193EABE" w14:textId="74B548CB"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4.灾害防治及应急管理支出（类）应急管理事务（款）灾害风险防治（项）:支出决算数为0.00万元，比上年决算减少5.00万元，下降100%，主要原因是：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本年无此经费</w:t>
      </w:r>
      <w:r w:rsidRPr="003F64AF">
        <w:rPr>
          <w:rFonts w:ascii="仿宋_GB2312" w:eastAsia="仿宋_GB2312" w:hint="eastAsia"/>
          <w:kern w:val="2"/>
          <w:sz w:val="32"/>
          <w:szCs w:val="32"/>
          <w:lang w:val="zh-CN"/>
        </w:rPr>
        <w:t>。</w:t>
      </w:r>
    </w:p>
    <w:p w14:paraId="02A1607B" w14:textId="20A68803"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5.农林水支出（类）水利（款）抗旱（项）:支出决算数为0.00万元，比上年决算减少49.74万元，下降100%，主要原因是：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本年无此经费</w:t>
      </w:r>
      <w:r w:rsidRPr="003F64AF">
        <w:rPr>
          <w:rFonts w:ascii="仿宋_GB2312" w:eastAsia="仿宋_GB2312" w:hint="eastAsia"/>
          <w:kern w:val="2"/>
          <w:sz w:val="32"/>
          <w:szCs w:val="32"/>
          <w:lang w:val="zh-CN"/>
        </w:rPr>
        <w:t>。</w:t>
      </w:r>
    </w:p>
    <w:p w14:paraId="03FEFFEA" w14:textId="6FE11B16"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lastRenderedPageBreak/>
        <w:t>6.农林水支出（类）农业农村（款）其他农业农村支出（项）:支出决算数为0.00万元，比上年决算减少89.17万元，下降100%，主要原因是：</w:t>
      </w:r>
      <w:r w:rsidR="00D21666">
        <w:rPr>
          <w:rFonts w:ascii="仿宋_GB2312" w:eastAsia="仿宋_GB2312" w:hint="eastAsia"/>
          <w:kern w:val="2"/>
          <w:sz w:val="32"/>
          <w:szCs w:val="32"/>
          <w:lang w:val="zh-CN"/>
        </w:rPr>
        <w:t>单位</w:t>
      </w:r>
      <w:r w:rsidR="00D44917" w:rsidRPr="003F64AF">
        <w:rPr>
          <w:rFonts w:ascii="仿宋_GB2312" w:eastAsia="仿宋_GB2312" w:hint="eastAsia"/>
          <w:kern w:val="2"/>
          <w:sz w:val="32"/>
          <w:szCs w:val="32"/>
          <w:lang w:val="zh-CN"/>
        </w:rPr>
        <w:t>本年无此经费</w:t>
      </w:r>
      <w:r w:rsidRPr="003F64AF">
        <w:rPr>
          <w:rFonts w:ascii="仿宋_GB2312" w:eastAsia="仿宋_GB2312" w:hint="eastAsia"/>
          <w:kern w:val="2"/>
          <w:sz w:val="32"/>
          <w:szCs w:val="32"/>
          <w:lang w:val="zh-CN"/>
        </w:rPr>
        <w:t>。</w:t>
      </w:r>
    </w:p>
    <w:p w14:paraId="68AC7472"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六、一般公共预算财政拨款基本支出决算情况说明</w:t>
      </w:r>
    </w:p>
    <w:p w14:paraId="3AFC3257" w14:textId="52CAFFE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基本支出167.88万元，其中：人员经费45.08万元，包括：基本工资、津贴补贴、奖金、机关事业单位基本养老保险缴费、职工基本医疗保险缴费、其他社会保障缴费、住房公积金、其他工资福利支出。</w:t>
      </w:r>
    </w:p>
    <w:p w14:paraId="18D16F59" w14:textId="27D6F4BA" w:rsidR="00EE617E" w:rsidRPr="003F64AF" w:rsidRDefault="00000000" w:rsidP="00850153">
      <w:pPr>
        <w:ind w:firstLineChars="200" w:firstLine="640"/>
        <w:jc w:val="left"/>
        <w:rPr>
          <w:rFonts w:ascii="仿宋_GB2312" w:eastAsia="仿宋_GB2312" w:hAnsi="宋体" w:cs="宋体" w:hint="eastAsia"/>
          <w:kern w:val="0"/>
          <w:sz w:val="32"/>
          <w:szCs w:val="32"/>
        </w:rPr>
      </w:pPr>
      <w:r w:rsidRPr="003F64AF">
        <w:rPr>
          <w:rFonts w:ascii="仿宋_GB2312" w:eastAsia="仿宋_GB2312" w:hint="eastAsia"/>
          <w:sz w:val="32"/>
          <w:szCs w:val="32"/>
        </w:rPr>
        <w:t>公用经费122.80万元，包括：办公费、邮电费、差旅费、维修（护）费、专用材料费、劳务费、委托业务费、其他交通费用。</w:t>
      </w:r>
    </w:p>
    <w:p w14:paraId="35A97649"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七、财政拨款“三公”经费支出决算情况说明</w:t>
      </w:r>
    </w:p>
    <w:p w14:paraId="412B96E7" w14:textId="2B1BA59B"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2023年度</w:t>
      </w:r>
      <w:r w:rsidRPr="003F64AF">
        <w:rPr>
          <w:rFonts w:ascii="仿宋_GB2312" w:eastAsia="仿宋_GB2312" w:hint="eastAsia"/>
          <w:sz w:val="32"/>
          <w:szCs w:val="32"/>
        </w:rPr>
        <w:t>财政拨款</w:t>
      </w:r>
      <w:r w:rsidRPr="003F64AF">
        <w:rPr>
          <w:rFonts w:ascii="仿宋_GB2312" w:eastAsia="仿宋_GB2312" w:hint="eastAsia"/>
          <w:sz w:val="32"/>
          <w:szCs w:val="32"/>
          <w:lang w:val="zh-CN"/>
        </w:rPr>
        <w:t>“三公”经费支出0.00万元，</w:t>
      </w:r>
      <w:r w:rsidRPr="003F64AF">
        <w:rPr>
          <w:rFonts w:ascii="仿宋_GB2312" w:eastAsia="仿宋_GB2312" w:hint="eastAsia"/>
          <w:sz w:val="32"/>
          <w:szCs w:val="32"/>
        </w:rPr>
        <w:t>比上年</w:t>
      </w:r>
      <w:r w:rsidRPr="003F64AF">
        <w:rPr>
          <w:rFonts w:ascii="仿宋_GB2312" w:eastAsia="仿宋_GB2312" w:hint="eastAsia"/>
          <w:sz w:val="32"/>
          <w:szCs w:val="32"/>
          <w:lang w:val="zh-CN"/>
        </w:rPr>
        <w:t>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；公务用车购置及运行维护费支出0.00万元，占0.00%，比上年增加0.00万元，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048E13A" w14:textId="77777777"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具体情况如下：</w:t>
      </w:r>
    </w:p>
    <w:p w14:paraId="46F54895" w14:textId="2D9D20A2"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lastRenderedPageBreak/>
        <w:t>因公出国（境）费支出0.00万元，开支内容包括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。单位全年安排的因公出国（境）团组0个，因公出国（境）0人次。</w:t>
      </w:r>
    </w:p>
    <w:p w14:paraId="4AEE6627" w14:textId="077A7179"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。公务用车购置数0辆，公务用车保有量0辆。国有资产占用情况</w:t>
      </w:r>
      <w:r w:rsidRPr="003F64AF">
        <w:rPr>
          <w:rFonts w:ascii="仿宋_GB2312" w:eastAsia="仿宋_GB2312" w:hint="eastAsia"/>
          <w:sz w:val="32"/>
          <w:szCs w:val="32"/>
        </w:rPr>
        <w:t>中固定资产车辆</w:t>
      </w:r>
      <w:r w:rsidRPr="003F64AF">
        <w:rPr>
          <w:rFonts w:ascii="仿宋_GB2312" w:eastAsia="仿宋_GB2312" w:hint="eastAsia"/>
          <w:sz w:val="32"/>
          <w:szCs w:val="32"/>
          <w:lang w:val="zh-CN"/>
        </w:rPr>
        <w:t>5辆，</w:t>
      </w:r>
      <w:r w:rsidRPr="003F64AF">
        <w:rPr>
          <w:rFonts w:ascii="仿宋_GB2312" w:eastAsia="仿宋_GB2312" w:hint="eastAsia"/>
          <w:sz w:val="32"/>
          <w:szCs w:val="32"/>
        </w:rPr>
        <w:t>与</w:t>
      </w:r>
      <w:r w:rsidRPr="003F64AF">
        <w:rPr>
          <w:rFonts w:ascii="仿宋_GB2312" w:eastAsia="仿宋_GB2312" w:hint="eastAsia"/>
          <w:sz w:val="32"/>
          <w:szCs w:val="32"/>
          <w:lang w:val="zh-CN"/>
        </w:rPr>
        <w:t>公务用车</w:t>
      </w:r>
      <w:r w:rsidRPr="003F64AF">
        <w:rPr>
          <w:rFonts w:ascii="仿宋_GB2312" w:eastAsia="仿宋_GB2312" w:hint="eastAsia"/>
          <w:sz w:val="32"/>
          <w:szCs w:val="32"/>
        </w:rPr>
        <w:t>保有量差异</w:t>
      </w:r>
      <w:r w:rsidRPr="003F64AF">
        <w:rPr>
          <w:rFonts w:ascii="仿宋_GB2312" w:eastAsia="仿宋_GB2312" w:hint="eastAsia"/>
          <w:sz w:val="32"/>
          <w:szCs w:val="32"/>
          <w:lang w:val="zh-CN"/>
        </w:rPr>
        <w:t>原因是：</w:t>
      </w:r>
      <w:r w:rsidR="00D21666" w:rsidRPr="00D21666">
        <w:rPr>
          <w:rFonts w:ascii="仿宋_GB2312" w:eastAsia="仿宋_GB2312" w:hint="eastAsia"/>
          <w:sz w:val="32"/>
          <w:szCs w:val="32"/>
          <w:lang w:val="zh-CN"/>
        </w:rPr>
        <w:t>本单位车辆由机关事务管理中心统一管理</w:t>
      </w:r>
      <w:r w:rsidRPr="003F64AF">
        <w:rPr>
          <w:rFonts w:ascii="仿宋_GB2312" w:eastAsia="仿宋_GB2312" w:hint="eastAsia"/>
          <w:sz w:val="32"/>
          <w:szCs w:val="32"/>
          <w:lang w:val="zh-CN"/>
        </w:rPr>
        <w:t>。</w:t>
      </w:r>
    </w:p>
    <w:p w14:paraId="36D1C0D5" w14:textId="239ECFB9"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公务接待费0.00万元，开支内容包括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。单位全年安排的国内公务接待0批次，0人次。</w:t>
      </w:r>
    </w:p>
    <w:p w14:paraId="27DF7CFA" w14:textId="1725AF2C"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与</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预算相比</w:t>
      </w:r>
      <w:r w:rsidRPr="003F64AF">
        <w:rPr>
          <w:rFonts w:ascii="仿宋_GB2312" w:eastAsia="仿宋_GB2312" w:hint="eastAsia"/>
          <w:sz w:val="32"/>
          <w:szCs w:val="32"/>
        </w:rPr>
        <w:t>,</w:t>
      </w:r>
      <w:r w:rsidRPr="003F64AF">
        <w:rPr>
          <w:rFonts w:ascii="仿宋_GB2312" w:eastAsia="仿宋_GB2312" w:hint="eastAsia"/>
          <w:sz w:val="32"/>
          <w:szCs w:val="32"/>
          <w:lang w:val="zh-CN"/>
        </w:rPr>
        <w:t>财政拨款“三公”经费支出</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w:t>
      </w:r>
      <w:r w:rsidRPr="003F64AF">
        <w:rPr>
          <w:rFonts w:ascii="仿宋_GB2312" w:eastAsia="仿宋_GB2312" w:hint="eastAsia"/>
          <w:sz w:val="32"/>
          <w:szCs w:val="32"/>
        </w:rPr>
        <w:t>全年预算数</w:t>
      </w:r>
      <w:r w:rsidRPr="003F64AF">
        <w:rPr>
          <w:rFonts w:ascii="仿宋_GB2312" w:eastAsia="仿宋_GB2312" w:hint="eastAsia"/>
          <w:sz w:val="32"/>
          <w:szCs w:val="32"/>
          <w:lang w:val="zh-CN"/>
        </w:rPr>
        <w:t>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；公务用车运行费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3CA553E"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F64AF">
        <w:rPr>
          <w:rFonts w:ascii="黑体" w:eastAsia="黑体" w:hAnsi="黑体" w:cs="宋体" w:hint="eastAsia"/>
          <w:bCs/>
          <w:kern w:val="0"/>
          <w:sz w:val="32"/>
          <w:szCs w:val="32"/>
        </w:rPr>
        <w:lastRenderedPageBreak/>
        <w:t>八、政府性基金预算财政拨款收入支出决算情况说明</w:t>
      </w:r>
      <w:bookmarkEnd w:id="18"/>
      <w:bookmarkEnd w:id="19"/>
    </w:p>
    <w:p w14:paraId="3FFC1F6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我单位本年度无政府性基金预算财政拨款收入、支出及结转和结余，政府性基金预算财政拨款收入支出决算表为空表。</w:t>
      </w:r>
    </w:p>
    <w:p w14:paraId="1051C4CD"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九、国有资本经营预算财政拨款收入支出决算情况说明</w:t>
      </w:r>
    </w:p>
    <w:p w14:paraId="595AB56F"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我单位本年度无国有资本经营预算财政拨款收入、支出及结转和结余，国有资本经营预算财政拨款收入支出决算表为空表。</w:t>
      </w:r>
    </w:p>
    <w:p w14:paraId="663695F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F64AF">
        <w:rPr>
          <w:rFonts w:ascii="黑体" w:eastAsia="黑体" w:hAnsi="黑体" w:cs="宋体" w:hint="eastAsia"/>
          <w:bCs/>
          <w:kern w:val="0"/>
          <w:sz w:val="32"/>
          <w:szCs w:val="32"/>
        </w:rPr>
        <w:t>十、其他重要事项的情况说明</w:t>
      </w:r>
      <w:bookmarkEnd w:id="20"/>
      <w:bookmarkEnd w:id="21"/>
    </w:p>
    <w:p w14:paraId="572385C9" w14:textId="77777777" w:rsidR="00EE617E" w:rsidRPr="003F64A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F64AF">
        <w:rPr>
          <w:rFonts w:ascii="黑体" w:eastAsia="黑体" w:hAnsi="黑体" w:hint="eastAsia"/>
          <w:sz w:val="32"/>
          <w:szCs w:val="32"/>
        </w:rPr>
        <w:t>（一）机关运行经费支出情况</w:t>
      </w:r>
      <w:bookmarkEnd w:id="22"/>
      <w:bookmarkEnd w:id="23"/>
    </w:p>
    <w:p w14:paraId="08D04930" w14:textId="02BF6105" w:rsidR="00EE617E" w:rsidRPr="003F64AF" w:rsidRDefault="00000000">
      <w:pPr>
        <w:ind w:firstLineChars="200" w:firstLine="640"/>
        <w:jc w:val="left"/>
        <w:rPr>
          <w:rFonts w:ascii="仿宋_GB2312" w:eastAsia="仿宋_GB2312"/>
          <w:sz w:val="32"/>
          <w:szCs w:val="32"/>
        </w:rPr>
      </w:pPr>
      <w:bookmarkStart w:id="24" w:name="_Toc227"/>
      <w:bookmarkStart w:id="25" w:name="_Toc26704"/>
      <w:r w:rsidRPr="003F64AF">
        <w:rPr>
          <w:rFonts w:ascii="仿宋_GB2312" w:eastAsia="仿宋_GB2312" w:hint="eastAsia"/>
          <w:sz w:val="32"/>
          <w:szCs w:val="32"/>
        </w:rPr>
        <w:t>2023年度木垒哈萨克自治县人工影响天气办公室(气象灾害防御中心)（事业单位）公用经费支出122.80万元，比上年增加104.00万元，增长553.43%，主要原因是：</w:t>
      </w:r>
      <w:r w:rsidR="00D44917" w:rsidRPr="003F64AF">
        <w:rPr>
          <w:rFonts w:ascii="仿宋_GB2312" w:eastAsia="仿宋_GB2312" w:hint="eastAsia"/>
          <w:sz w:val="32"/>
          <w:szCs w:val="32"/>
        </w:rPr>
        <w:t>本年办公费、差旅费、维修（护）费等增加</w:t>
      </w:r>
      <w:r w:rsidRPr="003F64AF">
        <w:rPr>
          <w:rFonts w:ascii="仿宋_GB2312" w:eastAsia="仿宋_GB2312" w:hint="eastAsia"/>
          <w:sz w:val="32"/>
          <w:szCs w:val="32"/>
        </w:rPr>
        <w:t>。</w:t>
      </w:r>
    </w:p>
    <w:p w14:paraId="39946FC2" w14:textId="77777777" w:rsidR="00EE617E" w:rsidRPr="003F64AF" w:rsidRDefault="00000000">
      <w:pPr>
        <w:ind w:firstLineChars="200" w:firstLine="640"/>
        <w:jc w:val="left"/>
        <w:rPr>
          <w:rFonts w:eastAsia="黑体"/>
          <w:sz w:val="32"/>
          <w:szCs w:val="30"/>
          <w:lang w:val="zh-CN"/>
        </w:rPr>
      </w:pPr>
      <w:r w:rsidRPr="003F64AF">
        <w:rPr>
          <w:rFonts w:eastAsia="黑体" w:hint="eastAsia"/>
          <w:sz w:val="32"/>
          <w:szCs w:val="30"/>
          <w:lang w:val="zh-CN"/>
        </w:rPr>
        <w:t>（二）政府采购情况</w:t>
      </w:r>
      <w:bookmarkEnd w:id="24"/>
      <w:bookmarkEnd w:id="25"/>
    </w:p>
    <w:p w14:paraId="0E903D9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2023年度政府采购支出总额0.00万元，其中：政府采购货物支出0.00万元、政府采购工程支出0.00万元、政府采购服务支出0.00万元。</w:t>
      </w:r>
    </w:p>
    <w:p w14:paraId="4E97BB12"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授予中小企业合同金额0.00万元，占政府采购支出总额的0.00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，其中：授予小微企业合同金额0.00万元，占政府采购支出总额的0.00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w:t>
      </w:r>
    </w:p>
    <w:p w14:paraId="2DF08CFD" w14:textId="77777777" w:rsidR="00EE617E" w:rsidRPr="003F64AF" w:rsidRDefault="00000000">
      <w:pPr>
        <w:ind w:firstLineChars="200" w:firstLine="640"/>
        <w:jc w:val="left"/>
        <w:rPr>
          <w:rFonts w:eastAsia="黑体"/>
          <w:sz w:val="32"/>
          <w:szCs w:val="30"/>
          <w:lang w:val="zh-CN"/>
        </w:rPr>
      </w:pPr>
      <w:bookmarkStart w:id="26" w:name="_Toc8391"/>
      <w:bookmarkStart w:id="27" w:name="_Toc4591"/>
      <w:r w:rsidRPr="003F64AF">
        <w:rPr>
          <w:rFonts w:eastAsia="黑体" w:hint="eastAsia"/>
          <w:sz w:val="32"/>
          <w:szCs w:val="30"/>
          <w:lang w:val="zh-CN"/>
        </w:rPr>
        <w:t>（三）国有资产占用情况说明</w:t>
      </w:r>
      <w:bookmarkEnd w:id="26"/>
      <w:bookmarkEnd w:id="27"/>
    </w:p>
    <w:p w14:paraId="005D8B86" w14:textId="5E068D44"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截至2023年12月31日，固定资产原值57.51万元，房屋0.0</w:t>
      </w:r>
      <w:r w:rsidR="00D44917" w:rsidRPr="003F64AF">
        <w:rPr>
          <w:rFonts w:ascii="仿宋_GB2312" w:eastAsia="仿宋_GB2312" w:hint="eastAsia"/>
          <w:sz w:val="32"/>
          <w:szCs w:val="32"/>
        </w:rPr>
        <w:t>0</w:t>
      </w:r>
      <w:r w:rsidRPr="003F64AF">
        <w:rPr>
          <w:rFonts w:ascii="仿宋_GB2312" w:eastAsia="仿宋_GB2312" w:hint="eastAsia"/>
          <w:sz w:val="32"/>
          <w:szCs w:val="32"/>
        </w:rPr>
        <w:t>平方米，价值0.00万元。车辆5辆，价值57.51万元，其中：副部（省）级及以上领导用车0辆、主要负责人用车0辆、机要通信用车0辆、应急保障用车0辆、执法执勤用车0辆、特种专业技术用车0辆、离退休干部服务用车0辆、其他用车5辆，其他用车主要是：</w:t>
      </w:r>
      <w:r w:rsidR="00D44917" w:rsidRPr="003F64AF">
        <w:rPr>
          <w:rFonts w:eastAsia="仿宋_GB2312" w:hint="eastAsia"/>
          <w:sz w:val="32"/>
          <w:szCs w:val="32"/>
          <w:lang w:val="zh-CN"/>
        </w:rPr>
        <w:t>人影作业车</w:t>
      </w:r>
      <w:r w:rsidRPr="003F64AF">
        <w:rPr>
          <w:rFonts w:ascii="仿宋_GB2312" w:eastAsia="仿宋_GB2312" w:hint="eastAsia"/>
          <w:sz w:val="32"/>
          <w:szCs w:val="32"/>
        </w:rPr>
        <w:t>；单价100万元（含）以上设备（不含车辆）0台（套）。</w:t>
      </w:r>
    </w:p>
    <w:p w14:paraId="1FBE3D58"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F64AF">
        <w:rPr>
          <w:rFonts w:ascii="黑体" w:eastAsia="黑体" w:hAnsi="黑体" w:cs="宋体" w:hint="eastAsia"/>
          <w:bCs/>
          <w:kern w:val="0"/>
          <w:sz w:val="32"/>
          <w:szCs w:val="32"/>
        </w:rPr>
        <w:t>十一、预算绩效的情况说明</w:t>
      </w:r>
      <w:bookmarkEnd w:id="28"/>
      <w:bookmarkEnd w:id="29"/>
    </w:p>
    <w:p w14:paraId="60440C25" w14:textId="1C509011"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根据预算绩效管理要求，我单位2023年度</w:t>
      </w:r>
      <w:r w:rsidRPr="003F64AF">
        <w:rPr>
          <w:rFonts w:ascii="仿宋_GB2312" w:eastAsia="仿宋_GB2312" w:hAnsi="仿宋_GB2312" w:cs="仿宋_GB2312" w:hint="eastAsia"/>
          <w:kern w:val="0"/>
          <w:sz w:val="32"/>
          <w:szCs w:val="32"/>
        </w:rPr>
        <w:t>预算绩效管理整体支出绩效自评表</w:t>
      </w:r>
      <w:r w:rsidRPr="003F64AF">
        <w:rPr>
          <w:rFonts w:ascii="仿宋_GB2312" w:eastAsia="仿宋_GB2312" w:hint="eastAsia"/>
          <w:sz w:val="32"/>
          <w:szCs w:val="32"/>
        </w:rPr>
        <w:t>1</w:t>
      </w:r>
      <w:r w:rsidRPr="003F64AF">
        <w:rPr>
          <w:rFonts w:ascii="仿宋_GB2312" w:eastAsia="仿宋_GB2312" w:hAnsi="仿宋_GB2312" w:cs="仿宋_GB2312" w:hint="eastAsia"/>
          <w:kern w:val="0"/>
          <w:sz w:val="32"/>
          <w:szCs w:val="32"/>
        </w:rPr>
        <w:t>个，全年</w:t>
      </w:r>
      <w:r w:rsidRPr="003F64AF">
        <w:rPr>
          <w:rFonts w:ascii="仿宋_GB2312" w:eastAsia="仿宋_GB2312" w:hint="eastAsia"/>
          <w:sz w:val="32"/>
          <w:szCs w:val="32"/>
        </w:rPr>
        <w:t>预算总额</w:t>
      </w:r>
      <w:r w:rsidR="00D44917" w:rsidRPr="003F64AF">
        <w:rPr>
          <w:rFonts w:ascii="仿宋_GB2312" w:eastAsia="仿宋_GB2312"/>
          <w:sz w:val="32"/>
          <w:szCs w:val="32"/>
        </w:rPr>
        <w:t>167.88</w:t>
      </w:r>
      <w:r w:rsidRPr="003F64AF">
        <w:rPr>
          <w:rFonts w:ascii="仿宋_GB2312" w:eastAsia="仿宋_GB2312" w:hint="eastAsia"/>
          <w:sz w:val="32"/>
          <w:szCs w:val="32"/>
        </w:rPr>
        <w:t>万元，实际执行总额</w:t>
      </w:r>
      <w:r w:rsidR="00D44917" w:rsidRPr="003F64AF">
        <w:rPr>
          <w:rFonts w:ascii="仿宋_GB2312" w:eastAsia="仿宋_GB2312"/>
          <w:sz w:val="32"/>
          <w:szCs w:val="32"/>
        </w:rPr>
        <w:t>167.88</w:t>
      </w:r>
      <w:r w:rsidRPr="003F64AF">
        <w:rPr>
          <w:rFonts w:ascii="仿宋_GB2312" w:eastAsia="仿宋_GB2312" w:hint="eastAsia"/>
          <w:sz w:val="32"/>
          <w:szCs w:val="32"/>
        </w:rPr>
        <w:t>万元</w:t>
      </w:r>
      <w:r w:rsidRPr="003F64AF">
        <w:rPr>
          <w:rFonts w:ascii="仿宋_GB2312" w:eastAsia="仿宋_GB2312" w:hAnsi="仿宋_GB2312" w:cs="仿宋_GB2312" w:hint="eastAsia"/>
          <w:kern w:val="0"/>
          <w:sz w:val="32"/>
          <w:szCs w:val="32"/>
        </w:rPr>
        <w:t>；</w:t>
      </w:r>
      <w:r w:rsidRPr="003F64AF">
        <w:rPr>
          <w:rFonts w:ascii="仿宋_GB2312" w:eastAsia="仿宋_GB2312" w:hint="eastAsia"/>
          <w:sz w:val="32"/>
          <w:szCs w:val="32"/>
        </w:rPr>
        <w:t>预算绩效评价项目</w:t>
      </w:r>
      <w:r w:rsidR="003F64AF">
        <w:rPr>
          <w:rFonts w:ascii="仿宋_GB2312" w:eastAsia="仿宋_GB2312" w:hint="eastAsia"/>
          <w:sz w:val="32"/>
          <w:szCs w:val="32"/>
        </w:rPr>
        <w:t>0</w:t>
      </w:r>
      <w:r w:rsidRPr="003F64AF">
        <w:rPr>
          <w:rFonts w:ascii="仿宋_GB2312" w:eastAsia="仿宋_GB2312" w:hint="eastAsia"/>
          <w:sz w:val="32"/>
          <w:szCs w:val="32"/>
        </w:rPr>
        <w:t>个，全年预算数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万元，全年执行数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万元。预算绩效管理取得的成效：</w:t>
      </w:r>
      <w:r w:rsidR="003F64AF" w:rsidRPr="003F64AF">
        <w:rPr>
          <w:rFonts w:ascii="仿宋_GB2312" w:eastAsia="仿宋_GB2312" w:hint="eastAsia"/>
          <w:sz w:val="32"/>
          <w:szCs w:val="32"/>
        </w:rPr>
        <w:t>一是</w:t>
      </w:r>
      <w:r w:rsidR="003F64AF" w:rsidRPr="003F64AF">
        <w:rPr>
          <w:rFonts w:ascii="仿宋_GB2312" w:eastAsia="仿宋_GB2312" w:hAnsi="宋体" w:hint="eastAsia"/>
          <w:bCs/>
          <w:sz w:val="32"/>
          <w:szCs w:val="32"/>
        </w:rPr>
        <w:t>全力保障县域内已建成的30套地面碘化银烟炉和5套火箭作业系统的业务运行</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改善了空气质量和曾雨的目的</w:t>
      </w:r>
      <w:r w:rsidR="003F64AF" w:rsidRPr="003F64AF">
        <w:rPr>
          <w:rFonts w:ascii="仿宋_GB2312" w:eastAsia="仿宋_GB2312" w:hint="eastAsia"/>
          <w:sz w:val="32"/>
          <w:szCs w:val="32"/>
        </w:rPr>
        <w:t>。发现的问题及原因：一是</w:t>
      </w:r>
      <w:r w:rsidR="003F64AF" w:rsidRPr="003F64AF">
        <w:rPr>
          <w:rFonts w:ascii="仿宋_GB2312" w:eastAsia="仿宋_GB2312" w:hAnsi="宋体" w:hint="eastAsia"/>
          <w:bCs/>
          <w:sz w:val="32"/>
          <w:szCs w:val="32"/>
        </w:rPr>
        <w:t>机构设置和队伍建设需要进一步推进</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绩效监控质量有待提高</w:t>
      </w:r>
      <w:r w:rsidR="003F64AF" w:rsidRPr="003F64AF">
        <w:rPr>
          <w:rFonts w:ascii="仿宋_GB2312" w:eastAsia="仿宋_GB2312" w:hint="eastAsia"/>
          <w:sz w:val="32"/>
          <w:szCs w:val="32"/>
        </w:rPr>
        <w:t>。下一步改进措施：一是</w:t>
      </w:r>
      <w:r w:rsidR="003F64AF" w:rsidRPr="003F64AF">
        <w:rPr>
          <w:rFonts w:ascii="仿宋_GB2312" w:eastAsia="仿宋_GB2312" w:hAnsi="宋体" w:hint="eastAsia"/>
          <w:bCs/>
          <w:sz w:val="32"/>
          <w:szCs w:val="32"/>
        </w:rPr>
        <w:t>现有工作人员的业务水平还不能满足绩效管理工作要求，业务素质急需提高</w:t>
      </w:r>
      <w:r w:rsidR="003F64AF" w:rsidRPr="003F64AF">
        <w:rPr>
          <w:rFonts w:ascii="仿宋_GB2312" w:eastAsia="仿宋_GB2312" w:hint="eastAsia"/>
          <w:sz w:val="32"/>
          <w:szCs w:val="32"/>
        </w:rPr>
        <w:t>；二是提高监控数据的准确性</w:t>
      </w:r>
      <w:r w:rsidRPr="003F64AF">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96"/>
        <w:gridCol w:w="1169"/>
        <w:gridCol w:w="1133"/>
        <w:gridCol w:w="919"/>
        <w:gridCol w:w="954"/>
        <w:gridCol w:w="726"/>
        <w:gridCol w:w="857"/>
        <w:gridCol w:w="868"/>
      </w:tblGrid>
      <w:tr w:rsidR="00D44917" w:rsidRPr="00D44917" w14:paraId="6A8D0995" w14:textId="77777777" w:rsidTr="00D4491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F16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部门（单位）整体支出绩效目标自评表</w:t>
            </w:r>
          </w:p>
        </w:tc>
      </w:tr>
      <w:tr w:rsidR="00D44917" w:rsidRPr="00D44917" w14:paraId="303ED7CD" w14:textId="77777777" w:rsidTr="00D4491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7B0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（2023年度）</w:t>
            </w:r>
          </w:p>
        </w:tc>
      </w:tr>
      <w:tr w:rsidR="00D44917" w:rsidRPr="00D44917" w14:paraId="0B93CF06" w14:textId="77777777" w:rsidTr="00D44917">
        <w:trPr>
          <w:trHeight w:val="660"/>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95C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部门（单位）名称</w:t>
            </w:r>
          </w:p>
        </w:tc>
        <w:tc>
          <w:tcPr>
            <w:tcW w:w="3888" w:type="pct"/>
            <w:gridSpan w:val="7"/>
            <w:tcBorders>
              <w:top w:val="single" w:sz="4" w:space="0" w:color="auto"/>
              <w:left w:val="nil"/>
              <w:bottom w:val="single" w:sz="4" w:space="0" w:color="auto"/>
              <w:right w:val="single" w:sz="4" w:space="0" w:color="auto"/>
            </w:tcBorders>
            <w:shd w:val="clear" w:color="auto" w:fill="auto"/>
            <w:noWrap/>
            <w:vAlign w:val="center"/>
            <w:hideMark/>
          </w:tcPr>
          <w:p w14:paraId="1D24105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木垒哈萨克自治县人工影响天气办公室（气象灾害预防中心）</w:t>
            </w:r>
          </w:p>
        </w:tc>
      </w:tr>
      <w:tr w:rsidR="00D44917" w:rsidRPr="003F64AF" w14:paraId="47C569A9" w14:textId="77777777" w:rsidTr="00D44917">
        <w:trPr>
          <w:trHeight w:val="570"/>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9BE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部门资金（万元）</w:t>
            </w:r>
          </w:p>
        </w:tc>
        <w:tc>
          <w:tcPr>
            <w:tcW w:w="686" w:type="pct"/>
            <w:tcBorders>
              <w:top w:val="nil"/>
              <w:left w:val="nil"/>
              <w:bottom w:val="single" w:sz="4" w:space="0" w:color="auto"/>
              <w:right w:val="single" w:sz="4" w:space="0" w:color="auto"/>
            </w:tcBorders>
            <w:shd w:val="clear" w:color="auto" w:fill="auto"/>
            <w:vAlign w:val="center"/>
            <w:hideMark/>
          </w:tcPr>
          <w:p w14:paraId="198DD32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资金来源</w:t>
            </w:r>
          </w:p>
        </w:tc>
        <w:tc>
          <w:tcPr>
            <w:tcW w:w="665" w:type="pct"/>
            <w:tcBorders>
              <w:top w:val="nil"/>
              <w:left w:val="nil"/>
              <w:bottom w:val="single" w:sz="4" w:space="0" w:color="auto"/>
              <w:right w:val="single" w:sz="4" w:space="0" w:color="auto"/>
            </w:tcBorders>
            <w:shd w:val="clear" w:color="auto" w:fill="auto"/>
            <w:vAlign w:val="center"/>
            <w:hideMark/>
          </w:tcPr>
          <w:p w14:paraId="70EA177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年初预算数</w:t>
            </w:r>
          </w:p>
        </w:tc>
        <w:tc>
          <w:tcPr>
            <w:tcW w:w="539" w:type="pct"/>
            <w:tcBorders>
              <w:top w:val="nil"/>
              <w:left w:val="nil"/>
              <w:bottom w:val="single" w:sz="4" w:space="0" w:color="auto"/>
              <w:right w:val="single" w:sz="4" w:space="0" w:color="auto"/>
            </w:tcBorders>
            <w:shd w:val="clear" w:color="auto" w:fill="auto"/>
            <w:vAlign w:val="center"/>
            <w:hideMark/>
          </w:tcPr>
          <w:p w14:paraId="5F9244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全年预算数</w:t>
            </w:r>
          </w:p>
        </w:tc>
        <w:tc>
          <w:tcPr>
            <w:tcW w:w="560" w:type="pct"/>
            <w:tcBorders>
              <w:top w:val="nil"/>
              <w:left w:val="nil"/>
              <w:bottom w:val="single" w:sz="4" w:space="0" w:color="auto"/>
              <w:right w:val="single" w:sz="4" w:space="0" w:color="auto"/>
            </w:tcBorders>
            <w:shd w:val="clear" w:color="auto" w:fill="auto"/>
            <w:vAlign w:val="center"/>
            <w:hideMark/>
          </w:tcPr>
          <w:p w14:paraId="095CFB3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全年执行数</w:t>
            </w:r>
          </w:p>
        </w:tc>
        <w:tc>
          <w:tcPr>
            <w:tcW w:w="426" w:type="pct"/>
            <w:tcBorders>
              <w:top w:val="nil"/>
              <w:left w:val="nil"/>
              <w:bottom w:val="single" w:sz="4" w:space="0" w:color="auto"/>
              <w:right w:val="single" w:sz="4" w:space="0" w:color="auto"/>
            </w:tcBorders>
            <w:shd w:val="clear" w:color="auto" w:fill="auto"/>
            <w:vAlign w:val="center"/>
            <w:hideMark/>
          </w:tcPr>
          <w:p w14:paraId="4F1D471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13D115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0ECF74E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4F5C396B" w14:textId="77777777" w:rsidTr="00D44917">
        <w:trPr>
          <w:trHeight w:val="559"/>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B734FC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noWrap/>
            <w:vAlign w:val="center"/>
            <w:hideMark/>
          </w:tcPr>
          <w:p w14:paraId="11C7BDB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中央安排</w:t>
            </w:r>
          </w:p>
        </w:tc>
        <w:tc>
          <w:tcPr>
            <w:tcW w:w="665" w:type="pct"/>
            <w:tcBorders>
              <w:top w:val="nil"/>
              <w:left w:val="nil"/>
              <w:bottom w:val="single" w:sz="4" w:space="0" w:color="auto"/>
              <w:right w:val="single" w:sz="4" w:space="0" w:color="auto"/>
            </w:tcBorders>
            <w:shd w:val="clear" w:color="auto" w:fill="auto"/>
            <w:vAlign w:val="center"/>
            <w:hideMark/>
          </w:tcPr>
          <w:p w14:paraId="36C6C3AB" w14:textId="2CFD5339"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024D3FF5" w14:textId="51E9757F"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689B3C65" w14:textId="01849C8D"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668D6D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c>
          <w:tcPr>
            <w:tcW w:w="503" w:type="pct"/>
            <w:tcBorders>
              <w:top w:val="nil"/>
              <w:left w:val="nil"/>
              <w:bottom w:val="single" w:sz="4" w:space="0" w:color="auto"/>
              <w:right w:val="single" w:sz="4" w:space="0" w:color="auto"/>
            </w:tcBorders>
            <w:shd w:val="clear" w:color="auto" w:fill="auto"/>
            <w:vAlign w:val="center"/>
            <w:hideMark/>
          </w:tcPr>
          <w:p w14:paraId="1F06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100%</w:t>
            </w:r>
          </w:p>
        </w:tc>
        <w:tc>
          <w:tcPr>
            <w:tcW w:w="509" w:type="pct"/>
            <w:tcBorders>
              <w:top w:val="nil"/>
              <w:left w:val="nil"/>
              <w:bottom w:val="single" w:sz="4" w:space="0" w:color="auto"/>
              <w:right w:val="single" w:sz="4" w:space="0" w:color="auto"/>
            </w:tcBorders>
            <w:shd w:val="clear" w:color="auto" w:fill="auto"/>
            <w:vAlign w:val="center"/>
            <w:hideMark/>
          </w:tcPr>
          <w:p w14:paraId="6999E11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3015EFFB" w14:textId="77777777" w:rsidTr="00D44917">
        <w:trPr>
          <w:trHeight w:val="41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20139B7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2B3FAC5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自治区安排</w:t>
            </w:r>
          </w:p>
        </w:tc>
        <w:tc>
          <w:tcPr>
            <w:tcW w:w="665" w:type="pct"/>
            <w:tcBorders>
              <w:top w:val="nil"/>
              <w:left w:val="nil"/>
              <w:bottom w:val="single" w:sz="4" w:space="0" w:color="auto"/>
              <w:right w:val="single" w:sz="4" w:space="0" w:color="auto"/>
            </w:tcBorders>
            <w:shd w:val="clear" w:color="auto" w:fill="auto"/>
            <w:vAlign w:val="center"/>
            <w:hideMark/>
          </w:tcPr>
          <w:p w14:paraId="44C2B74E" w14:textId="656AC5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7CFF0C4A" w14:textId="29C38C8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5F8774BB" w14:textId="753D46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6A9621E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1C9F209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1FB2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91630D6" w14:textId="77777777" w:rsidTr="00D44917">
        <w:trPr>
          <w:trHeight w:val="700"/>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4A43FA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3C2BEBB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地（州、市）安排</w:t>
            </w:r>
          </w:p>
        </w:tc>
        <w:tc>
          <w:tcPr>
            <w:tcW w:w="665" w:type="pct"/>
            <w:tcBorders>
              <w:top w:val="nil"/>
              <w:left w:val="nil"/>
              <w:bottom w:val="single" w:sz="4" w:space="0" w:color="auto"/>
              <w:right w:val="single" w:sz="4" w:space="0" w:color="auto"/>
            </w:tcBorders>
            <w:shd w:val="clear" w:color="auto" w:fill="auto"/>
            <w:vAlign w:val="center"/>
            <w:hideMark/>
          </w:tcPr>
          <w:p w14:paraId="7BFE04AB" w14:textId="1BDD1E4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5B0621BC" w14:textId="5DBEBCF4"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15490ED4" w14:textId="3297ADEE"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ECA933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C7E614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76782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5641F6B3" w14:textId="77777777" w:rsidTr="00D44917">
        <w:trPr>
          <w:trHeight w:val="555"/>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35C55D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1854DEC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县（市、区）安排</w:t>
            </w:r>
          </w:p>
        </w:tc>
        <w:tc>
          <w:tcPr>
            <w:tcW w:w="665" w:type="pct"/>
            <w:tcBorders>
              <w:top w:val="nil"/>
              <w:left w:val="nil"/>
              <w:bottom w:val="single" w:sz="4" w:space="0" w:color="auto"/>
              <w:right w:val="single" w:sz="4" w:space="0" w:color="auto"/>
            </w:tcBorders>
            <w:shd w:val="clear" w:color="auto" w:fill="auto"/>
            <w:vAlign w:val="center"/>
            <w:hideMark/>
          </w:tcPr>
          <w:p w14:paraId="0AF29C4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18624DE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0E533EE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2AA20A2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vAlign w:val="center"/>
            <w:hideMark/>
          </w:tcPr>
          <w:p w14:paraId="256C3DE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vAlign w:val="center"/>
            <w:hideMark/>
          </w:tcPr>
          <w:p w14:paraId="448FA88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5F30890C" w14:textId="77777777" w:rsidTr="00D44917">
        <w:trPr>
          <w:trHeight w:val="492"/>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BA203D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5179847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其他资金</w:t>
            </w:r>
          </w:p>
        </w:tc>
        <w:tc>
          <w:tcPr>
            <w:tcW w:w="665" w:type="pct"/>
            <w:tcBorders>
              <w:top w:val="nil"/>
              <w:left w:val="nil"/>
              <w:bottom w:val="single" w:sz="4" w:space="0" w:color="auto"/>
              <w:right w:val="single" w:sz="4" w:space="0" w:color="auto"/>
            </w:tcBorders>
            <w:shd w:val="clear" w:color="auto" w:fill="auto"/>
            <w:vAlign w:val="center"/>
            <w:hideMark/>
          </w:tcPr>
          <w:p w14:paraId="3DDC1975" w14:textId="5A4E0C1E"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3FC96EE0" w14:textId="0021EBE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2DAF6B41" w14:textId="60C517A4"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3DB27B5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vAlign w:val="center"/>
            <w:hideMark/>
          </w:tcPr>
          <w:p w14:paraId="0331E96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vAlign w:val="center"/>
            <w:hideMark/>
          </w:tcPr>
          <w:p w14:paraId="2CD414D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239F2BE0" w14:textId="77777777" w:rsidTr="00D44917">
        <w:trPr>
          <w:trHeight w:val="557"/>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406756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66D2439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合计</w:t>
            </w:r>
          </w:p>
        </w:tc>
        <w:tc>
          <w:tcPr>
            <w:tcW w:w="665" w:type="pct"/>
            <w:tcBorders>
              <w:top w:val="nil"/>
              <w:left w:val="nil"/>
              <w:bottom w:val="single" w:sz="4" w:space="0" w:color="auto"/>
              <w:right w:val="single" w:sz="4" w:space="0" w:color="auto"/>
            </w:tcBorders>
            <w:shd w:val="clear" w:color="auto" w:fill="auto"/>
            <w:vAlign w:val="center"/>
            <w:hideMark/>
          </w:tcPr>
          <w:p w14:paraId="2B78A00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4DA0C72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2C05C28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740432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6012053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E5F93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D44917" w14:paraId="2B4E08BE" w14:textId="77777777" w:rsidTr="004458DB">
        <w:trPr>
          <w:trHeight w:val="488"/>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2FF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年度总体目标</w:t>
            </w:r>
          </w:p>
        </w:tc>
        <w:tc>
          <w:tcPr>
            <w:tcW w:w="189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CE24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预期目标</w:t>
            </w:r>
          </w:p>
        </w:tc>
        <w:tc>
          <w:tcPr>
            <w:tcW w:w="1998" w:type="pct"/>
            <w:gridSpan w:val="4"/>
            <w:tcBorders>
              <w:top w:val="single" w:sz="4" w:space="0" w:color="auto"/>
              <w:left w:val="nil"/>
              <w:bottom w:val="single" w:sz="4" w:space="0" w:color="auto"/>
              <w:right w:val="single" w:sz="4" w:space="0" w:color="auto"/>
            </w:tcBorders>
            <w:shd w:val="clear" w:color="auto" w:fill="auto"/>
            <w:noWrap/>
            <w:vAlign w:val="center"/>
            <w:hideMark/>
          </w:tcPr>
          <w:p w14:paraId="3F75F5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实际完成情况</w:t>
            </w:r>
          </w:p>
        </w:tc>
      </w:tr>
      <w:tr w:rsidR="00D44917" w:rsidRPr="00D44917" w14:paraId="1A4ABB8A" w14:textId="77777777" w:rsidTr="00D44917">
        <w:trPr>
          <w:trHeight w:val="200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BB223D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1890" w:type="pct"/>
            <w:gridSpan w:val="3"/>
            <w:tcBorders>
              <w:top w:val="single" w:sz="4" w:space="0" w:color="auto"/>
              <w:left w:val="nil"/>
              <w:bottom w:val="single" w:sz="4" w:space="0" w:color="auto"/>
              <w:right w:val="single" w:sz="4" w:space="0" w:color="auto"/>
            </w:tcBorders>
            <w:shd w:val="clear" w:color="auto" w:fill="auto"/>
            <w:vAlign w:val="center"/>
            <w:hideMark/>
          </w:tcPr>
          <w:p w14:paraId="2C1689A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2023年完成全年人影作业任务，保障气象、人影等设备稳定运行。</w:t>
            </w:r>
          </w:p>
        </w:tc>
        <w:tc>
          <w:tcPr>
            <w:tcW w:w="1998" w:type="pct"/>
            <w:gridSpan w:val="4"/>
            <w:tcBorders>
              <w:top w:val="single" w:sz="4" w:space="0" w:color="auto"/>
              <w:left w:val="nil"/>
              <w:bottom w:val="single" w:sz="4" w:space="0" w:color="auto"/>
              <w:right w:val="single" w:sz="4" w:space="0" w:color="auto"/>
            </w:tcBorders>
            <w:shd w:val="clear" w:color="auto" w:fill="auto"/>
            <w:vAlign w:val="center"/>
            <w:hideMark/>
          </w:tcPr>
          <w:p w14:paraId="77ABF1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截止2023年本单位整体自评，我单位已完成如下工作：地面碘化银烟炉数30个，移动火箭作业次数20次，地面碘化银烟炉作业次数20次，保障了气象、人影等设备稳定运行。</w:t>
            </w:r>
          </w:p>
        </w:tc>
      </w:tr>
      <w:tr w:rsidR="00D44917" w:rsidRPr="003F64AF" w14:paraId="1E3CD4F2" w14:textId="77777777" w:rsidTr="00D44917">
        <w:trPr>
          <w:trHeight w:val="579"/>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96BE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一级指标</w:t>
            </w:r>
          </w:p>
        </w:tc>
        <w:tc>
          <w:tcPr>
            <w:tcW w:w="686" w:type="pct"/>
            <w:tcBorders>
              <w:top w:val="nil"/>
              <w:left w:val="nil"/>
              <w:bottom w:val="single" w:sz="4" w:space="0" w:color="auto"/>
              <w:right w:val="single" w:sz="4" w:space="0" w:color="auto"/>
            </w:tcBorders>
            <w:shd w:val="clear" w:color="auto" w:fill="auto"/>
            <w:vAlign w:val="center"/>
            <w:hideMark/>
          </w:tcPr>
          <w:p w14:paraId="447C934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二级指标</w:t>
            </w:r>
          </w:p>
        </w:tc>
        <w:tc>
          <w:tcPr>
            <w:tcW w:w="665" w:type="pct"/>
            <w:tcBorders>
              <w:top w:val="nil"/>
              <w:left w:val="nil"/>
              <w:bottom w:val="single" w:sz="4" w:space="0" w:color="auto"/>
              <w:right w:val="single" w:sz="4" w:space="0" w:color="auto"/>
            </w:tcBorders>
            <w:shd w:val="clear" w:color="auto" w:fill="auto"/>
            <w:vAlign w:val="center"/>
            <w:hideMark/>
          </w:tcPr>
          <w:p w14:paraId="7A2A938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三级指标</w:t>
            </w:r>
          </w:p>
        </w:tc>
        <w:tc>
          <w:tcPr>
            <w:tcW w:w="539" w:type="pct"/>
            <w:tcBorders>
              <w:top w:val="nil"/>
              <w:left w:val="nil"/>
              <w:bottom w:val="single" w:sz="4" w:space="0" w:color="auto"/>
              <w:right w:val="single" w:sz="4" w:space="0" w:color="auto"/>
            </w:tcBorders>
            <w:shd w:val="clear" w:color="auto" w:fill="auto"/>
            <w:vAlign w:val="center"/>
            <w:hideMark/>
          </w:tcPr>
          <w:p w14:paraId="4E6BB87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预期指标值</w:t>
            </w:r>
          </w:p>
        </w:tc>
        <w:tc>
          <w:tcPr>
            <w:tcW w:w="560" w:type="pct"/>
            <w:tcBorders>
              <w:top w:val="nil"/>
              <w:left w:val="nil"/>
              <w:bottom w:val="single" w:sz="4" w:space="0" w:color="auto"/>
              <w:right w:val="single" w:sz="4" w:space="0" w:color="auto"/>
            </w:tcBorders>
            <w:shd w:val="clear" w:color="auto" w:fill="auto"/>
            <w:vAlign w:val="center"/>
            <w:hideMark/>
          </w:tcPr>
          <w:p w14:paraId="15901C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指标值设定依据</w:t>
            </w:r>
          </w:p>
        </w:tc>
        <w:tc>
          <w:tcPr>
            <w:tcW w:w="426" w:type="pct"/>
            <w:tcBorders>
              <w:top w:val="nil"/>
              <w:left w:val="nil"/>
              <w:bottom w:val="single" w:sz="4" w:space="0" w:color="auto"/>
              <w:right w:val="single" w:sz="4" w:space="0" w:color="auto"/>
            </w:tcBorders>
            <w:shd w:val="clear" w:color="auto" w:fill="auto"/>
            <w:vAlign w:val="center"/>
            <w:hideMark/>
          </w:tcPr>
          <w:p w14:paraId="549D475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0C7DFB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实际完成指标值</w:t>
            </w:r>
          </w:p>
        </w:tc>
        <w:tc>
          <w:tcPr>
            <w:tcW w:w="509" w:type="pct"/>
            <w:tcBorders>
              <w:top w:val="nil"/>
              <w:left w:val="nil"/>
              <w:bottom w:val="single" w:sz="4" w:space="0" w:color="auto"/>
              <w:right w:val="single" w:sz="4" w:space="0" w:color="auto"/>
            </w:tcBorders>
            <w:shd w:val="clear" w:color="auto" w:fill="auto"/>
            <w:vAlign w:val="center"/>
            <w:hideMark/>
          </w:tcPr>
          <w:p w14:paraId="7EDDCE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0DE8DC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20DF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运行成本</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159EDCE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数量指标 </w:t>
            </w:r>
          </w:p>
        </w:tc>
        <w:tc>
          <w:tcPr>
            <w:tcW w:w="665" w:type="pct"/>
            <w:tcBorders>
              <w:top w:val="nil"/>
              <w:left w:val="nil"/>
              <w:bottom w:val="single" w:sz="4" w:space="0" w:color="auto"/>
              <w:right w:val="single" w:sz="4" w:space="0" w:color="auto"/>
            </w:tcBorders>
            <w:shd w:val="clear" w:color="auto" w:fill="auto"/>
            <w:vAlign w:val="center"/>
            <w:hideMark/>
          </w:tcPr>
          <w:p w14:paraId="0A8E574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保障办公人员数量</w:t>
            </w:r>
          </w:p>
        </w:tc>
        <w:tc>
          <w:tcPr>
            <w:tcW w:w="539" w:type="pct"/>
            <w:tcBorders>
              <w:top w:val="nil"/>
              <w:left w:val="nil"/>
              <w:bottom w:val="single" w:sz="4" w:space="0" w:color="auto"/>
              <w:right w:val="single" w:sz="4" w:space="0" w:color="auto"/>
            </w:tcBorders>
            <w:shd w:val="clear" w:color="auto" w:fill="auto"/>
            <w:vAlign w:val="center"/>
            <w:hideMark/>
          </w:tcPr>
          <w:p w14:paraId="11B6F6D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&gt;=5人</w:t>
            </w:r>
          </w:p>
        </w:tc>
        <w:tc>
          <w:tcPr>
            <w:tcW w:w="560" w:type="pct"/>
            <w:tcBorders>
              <w:top w:val="nil"/>
              <w:left w:val="nil"/>
              <w:bottom w:val="single" w:sz="4" w:space="0" w:color="auto"/>
              <w:right w:val="single" w:sz="4" w:space="0" w:color="auto"/>
            </w:tcBorders>
            <w:shd w:val="clear" w:color="auto" w:fill="auto"/>
            <w:vAlign w:val="center"/>
            <w:hideMark/>
          </w:tcPr>
          <w:p w14:paraId="33286AD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关于印发《木垒哈萨克自治县气象局所属事业单位分类改革方案》的通知</w:t>
            </w:r>
          </w:p>
        </w:tc>
        <w:tc>
          <w:tcPr>
            <w:tcW w:w="426" w:type="pct"/>
            <w:tcBorders>
              <w:top w:val="nil"/>
              <w:left w:val="nil"/>
              <w:bottom w:val="single" w:sz="4" w:space="0" w:color="auto"/>
              <w:right w:val="single" w:sz="4" w:space="0" w:color="auto"/>
            </w:tcBorders>
            <w:shd w:val="clear" w:color="auto" w:fill="auto"/>
            <w:vAlign w:val="center"/>
            <w:hideMark/>
          </w:tcPr>
          <w:p w14:paraId="3097F1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c>
          <w:tcPr>
            <w:tcW w:w="503" w:type="pct"/>
            <w:tcBorders>
              <w:top w:val="nil"/>
              <w:left w:val="nil"/>
              <w:bottom w:val="single" w:sz="4" w:space="0" w:color="auto"/>
              <w:right w:val="single" w:sz="4" w:space="0" w:color="auto"/>
            </w:tcBorders>
            <w:shd w:val="clear" w:color="auto" w:fill="auto"/>
            <w:vAlign w:val="center"/>
            <w:hideMark/>
          </w:tcPr>
          <w:p w14:paraId="5013FB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5人</w:t>
            </w:r>
          </w:p>
        </w:tc>
        <w:tc>
          <w:tcPr>
            <w:tcW w:w="509" w:type="pct"/>
            <w:tcBorders>
              <w:top w:val="nil"/>
              <w:left w:val="nil"/>
              <w:bottom w:val="single" w:sz="4" w:space="0" w:color="auto"/>
              <w:right w:val="single" w:sz="4" w:space="0" w:color="auto"/>
            </w:tcBorders>
            <w:shd w:val="clear" w:color="auto" w:fill="auto"/>
            <w:vAlign w:val="center"/>
            <w:hideMark/>
          </w:tcPr>
          <w:p w14:paraId="299D2D8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r>
      <w:tr w:rsidR="00D44917" w:rsidRPr="003F64AF" w14:paraId="24808850"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8A6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管理效率</w:t>
            </w:r>
          </w:p>
        </w:tc>
        <w:tc>
          <w:tcPr>
            <w:tcW w:w="686" w:type="pct"/>
            <w:vMerge/>
            <w:tcBorders>
              <w:top w:val="nil"/>
              <w:left w:val="single" w:sz="4" w:space="0" w:color="auto"/>
              <w:bottom w:val="single" w:sz="4" w:space="0" w:color="auto"/>
              <w:right w:val="single" w:sz="4" w:space="0" w:color="auto"/>
            </w:tcBorders>
            <w:vAlign w:val="center"/>
            <w:hideMark/>
          </w:tcPr>
          <w:p w14:paraId="54F18C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1A31B7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作业人员人数</w:t>
            </w:r>
          </w:p>
        </w:tc>
        <w:tc>
          <w:tcPr>
            <w:tcW w:w="539" w:type="pct"/>
            <w:tcBorders>
              <w:top w:val="nil"/>
              <w:left w:val="nil"/>
              <w:bottom w:val="single" w:sz="4" w:space="0" w:color="auto"/>
              <w:right w:val="single" w:sz="4" w:space="0" w:color="auto"/>
            </w:tcBorders>
            <w:shd w:val="clear" w:color="auto" w:fill="auto"/>
            <w:vAlign w:val="center"/>
            <w:hideMark/>
          </w:tcPr>
          <w:p w14:paraId="7962515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&gt;=6人</w:t>
            </w:r>
          </w:p>
        </w:tc>
        <w:tc>
          <w:tcPr>
            <w:tcW w:w="560" w:type="pct"/>
            <w:tcBorders>
              <w:top w:val="nil"/>
              <w:left w:val="nil"/>
              <w:bottom w:val="single" w:sz="4" w:space="0" w:color="auto"/>
              <w:right w:val="single" w:sz="4" w:space="0" w:color="auto"/>
            </w:tcBorders>
            <w:shd w:val="clear" w:color="auto" w:fill="auto"/>
            <w:vAlign w:val="center"/>
            <w:hideMark/>
          </w:tcPr>
          <w:p w14:paraId="4BD85D8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w:t>
            </w:r>
            <w:r w:rsidRPr="00D21666">
              <w:rPr>
                <w:rFonts w:asciiTheme="minorEastAsia" w:eastAsiaTheme="minorEastAsia" w:hAnsiTheme="minorEastAsia" w:cs="宋体" w:hint="eastAsia"/>
                <w:kern w:val="0"/>
                <w:sz w:val="20"/>
                <w:szCs w:val="20"/>
              </w:rPr>
              <w:lastRenderedPageBreak/>
              <w:t>年工作计划</w:t>
            </w:r>
          </w:p>
        </w:tc>
        <w:tc>
          <w:tcPr>
            <w:tcW w:w="426" w:type="pct"/>
            <w:tcBorders>
              <w:top w:val="nil"/>
              <w:left w:val="nil"/>
              <w:bottom w:val="single" w:sz="4" w:space="0" w:color="auto"/>
              <w:right w:val="single" w:sz="4" w:space="0" w:color="auto"/>
            </w:tcBorders>
            <w:shd w:val="clear" w:color="auto" w:fill="auto"/>
            <w:vAlign w:val="center"/>
            <w:hideMark/>
          </w:tcPr>
          <w:p w14:paraId="468846D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10</w:t>
            </w:r>
          </w:p>
        </w:tc>
        <w:tc>
          <w:tcPr>
            <w:tcW w:w="503" w:type="pct"/>
            <w:tcBorders>
              <w:top w:val="nil"/>
              <w:left w:val="nil"/>
              <w:bottom w:val="single" w:sz="4" w:space="0" w:color="auto"/>
              <w:right w:val="single" w:sz="4" w:space="0" w:color="auto"/>
            </w:tcBorders>
            <w:shd w:val="clear" w:color="auto" w:fill="auto"/>
            <w:vAlign w:val="center"/>
            <w:hideMark/>
          </w:tcPr>
          <w:p w14:paraId="7511FD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6人</w:t>
            </w:r>
          </w:p>
        </w:tc>
        <w:tc>
          <w:tcPr>
            <w:tcW w:w="509" w:type="pct"/>
            <w:tcBorders>
              <w:top w:val="nil"/>
              <w:left w:val="nil"/>
              <w:bottom w:val="single" w:sz="4" w:space="0" w:color="auto"/>
              <w:right w:val="single" w:sz="4" w:space="0" w:color="auto"/>
            </w:tcBorders>
            <w:shd w:val="clear" w:color="auto" w:fill="auto"/>
            <w:vAlign w:val="center"/>
            <w:hideMark/>
          </w:tcPr>
          <w:p w14:paraId="4E36B9B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1852BECC"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1FA3A2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2796DDB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1C56C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地面碘化银烟炉数</w:t>
            </w:r>
          </w:p>
        </w:tc>
        <w:tc>
          <w:tcPr>
            <w:tcW w:w="539" w:type="pct"/>
            <w:tcBorders>
              <w:top w:val="nil"/>
              <w:left w:val="nil"/>
              <w:bottom w:val="single" w:sz="4" w:space="0" w:color="auto"/>
              <w:right w:val="single" w:sz="4" w:space="0" w:color="auto"/>
            </w:tcBorders>
            <w:shd w:val="clear" w:color="auto" w:fill="auto"/>
            <w:vAlign w:val="center"/>
            <w:hideMark/>
          </w:tcPr>
          <w:p w14:paraId="6DD511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&gt;=30个</w:t>
            </w:r>
          </w:p>
        </w:tc>
        <w:tc>
          <w:tcPr>
            <w:tcW w:w="560" w:type="pct"/>
            <w:tcBorders>
              <w:top w:val="nil"/>
              <w:left w:val="nil"/>
              <w:bottom w:val="single" w:sz="4" w:space="0" w:color="auto"/>
              <w:right w:val="single" w:sz="4" w:space="0" w:color="auto"/>
            </w:tcBorders>
            <w:shd w:val="clear" w:color="auto" w:fill="auto"/>
            <w:vAlign w:val="center"/>
            <w:hideMark/>
          </w:tcPr>
          <w:p w14:paraId="220203E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425DAE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c>
          <w:tcPr>
            <w:tcW w:w="503" w:type="pct"/>
            <w:tcBorders>
              <w:top w:val="nil"/>
              <w:left w:val="nil"/>
              <w:bottom w:val="single" w:sz="4" w:space="0" w:color="auto"/>
              <w:right w:val="single" w:sz="4" w:space="0" w:color="auto"/>
            </w:tcBorders>
            <w:shd w:val="clear" w:color="auto" w:fill="auto"/>
            <w:vAlign w:val="center"/>
            <w:hideMark/>
          </w:tcPr>
          <w:p w14:paraId="1EEA4A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30个</w:t>
            </w:r>
          </w:p>
        </w:tc>
        <w:tc>
          <w:tcPr>
            <w:tcW w:w="509" w:type="pct"/>
            <w:tcBorders>
              <w:top w:val="nil"/>
              <w:left w:val="nil"/>
              <w:bottom w:val="single" w:sz="4" w:space="0" w:color="auto"/>
              <w:right w:val="single" w:sz="4" w:space="0" w:color="auto"/>
            </w:tcBorders>
            <w:shd w:val="clear" w:color="auto" w:fill="auto"/>
            <w:vAlign w:val="center"/>
            <w:hideMark/>
          </w:tcPr>
          <w:p w14:paraId="1D31BE0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r>
      <w:tr w:rsidR="00D44917" w:rsidRPr="003F64AF" w14:paraId="6CEAC9AE"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E65D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履职效能</w:t>
            </w:r>
          </w:p>
        </w:tc>
        <w:tc>
          <w:tcPr>
            <w:tcW w:w="686" w:type="pct"/>
            <w:vMerge/>
            <w:tcBorders>
              <w:top w:val="nil"/>
              <w:left w:val="single" w:sz="4" w:space="0" w:color="auto"/>
              <w:bottom w:val="single" w:sz="4" w:space="0" w:color="auto"/>
              <w:right w:val="single" w:sz="4" w:space="0" w:color="auto"/>
            </w:tcBorders>
            <w:vAlign w:val="center"/>
            <w:hideMark/>
          </w:tcPr>
          <w:p w14:paraId="5B449DE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726A69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移动火箭作业次数</w:t>
            </w:r>
          </w:p>
        </w:tc>
        <w:tc>
          <w:tcPr>
            <w:tcW w:w="539" w:type="pct"/>
            <w:tcBorders>
              <w:top w:val="nil"/>
              <w:left w:val="nil"/>
              <w:bottom w:val="single" w:sz="4" w:space="0" w:color="auto"/>
              <w:right w:val="single" w:sz="4" w:space="0" w:color="auto"/>
            </w:tcBorders>
            <w:shd w:val="clear" w:color="auto" w:fill="auto"/>
            <w:vAlign w:val="center"/>
            <w:hideMark/>
          </w:tcPr>
          <w:p w14:paraId="77598C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416FD17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79C34FF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4DEB39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7E9D20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19D59C5D"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06480C6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151180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8CAB7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地面碘化银烟炉作业次数</w:t>
            </w:r>
          </w:p>
        </w:tc>
        <w:tc>
          <w:tcPr>
            <w:tcW w:w="539" w:type="pct"/>
            <w:tcBorders>
              <w:top w:val="nil"/>
              <w:left w:val="nil"/>
              <w:bottom w:val="single" w:sz="4" w:space="0" w:color="auto"/>
              <w:right w:val="single" w:sz="4" w:space="0" w:color="auto"/>
            </w:tcBorders>
            <w:shd w:val="clear" w:color="auto" w:fill="auto"/>
            <w:vAlign w:val="center"/>
            <w:hideMark/>
          </w:tcPr>
          <w:p w14:paraId="3E9ACF1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5408986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68CB6D7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F33B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5DAB90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00171B50"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2DC4A2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481617C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质量指标 </w:t>
            </w:r>
          </w:p>
        </w:tc>
        <w:tc>
          <w:tcPr>
            <w:tcW w:w="665" w:type="pct"/>
            <w:tcBorders>
              <w:top w:val="nil"/>
              <w:left w:val="nil"/>
              <w:bottom w:val="single" w:sz="4" w:space="0" w:color="auto"/>
              <w:right w:val="single" w:sz="4" w:space="0" w:color="auto"/>
            </w:tcBorders>
            <w:shd w:val="clear" w:color="auto" w:fill="auto"/>
            <w:vAlign w:val="center"/>
            <w:hideMark/>
          </w:tcPr>
          <w:p w14:paraId="129C1E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人影安全责任事故率</w:t>
            </w:r>
          </w:p>
        </w:tc>
        <w:tc>
          <w:tcPr>
            <w:tcW w:w="539" w:type="pct"/>
            <w:tcBorders>
              <w:top w:val="nil"/>
              <w:left w:val="nil"/>
              <w:bottom w:val="single" w:sz="4" w:space="0" w:color="auto"/>
              <w:right w:val="single" w:sz="4" w:space="0" w:color="auto"/>
            </w:tcBorders>
            <w:shd w:val="clear" w:color="auto" w:fill="auto"/>
            <w:vAlign w:val="center"/>
            <w:hideMark/>
          </w:tcPr>
          <w:p w14:paraId="0A5AD2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60" w:type="pct"/>
            <w:tcBorders>
              <w:top w:val="nil"/>
              <w:left w:val="nil"/>
              <w:bottom w:val="single" w:sz="4" w:space="0" w:color="auto"/>
              <w:right w:val="single" w:sz="4" w:space="0" w:color="auto"/>
            </w:tcBorders>
            <w:shd w:val="clear" w:color="auto" w:fill="auto"/>
            <w:vAlign w:val="center"/>
            <w:hideMark/>
          </w:tcPr>
          <w:p w14:paraId="593BC44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w:t>
            </w:r>
            <w:r w:rsidRPr="00D21666">
              <w:rPr>
                <w:rFonts w:asciiTheme="minorEastAsia" w:eastAsiaTheme="minorEastAsia" w:hAnsiTheme="minorEastAsia" w:cs="宋体" w:hint="eastAsia"/>
                <w:kern w:val="0"/>
                <w:sz w:val="20"/>
                <w:szCs w:val="20"/>
              </w:rPr>
              <w:lastRenderedPageBreak/>
              <w:t>年工作计划</w:t>
            </w:r>
          </w:p>
        </w:tc>
        <w:tc>
          <w:tcPr>
            <w:tcW w:w="426" w:type="pct"/>
            <w:tcBorders>
              <w:top w:val="nil"/>
              <w:left w:val="nil"/>
              <w:bottom w:val="single" w:sz="4" w:space="0" w:color="auto"/>
              <w:right w:val="single" w:sz="4" w:space="0" w:color="auto"/>
            </w:tcBorders>
            <w:shd w:val="clear" w:color="auto" w:fill="auto"/>
            <w:vAlign w:val="center"/>
            <w:hideMark/>
          </w:tcPr>
          <w:p w14:paraId="64E6C46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15</w:t>
            </w:r>
          </w:p>
        </w:tc>
        <w:tc>
          <w:tcPr>
            <w:tcW w:w="503" w:type="pct"/>
            <w:tcBorders>
              <w:top w:val="nil"/>
              <w:left w:val="nil"/>
              <w:bottom w:val="single" w:sz="4" w:space="0" w:color="auto"/>
              <w:right w:val="single" w:sz="4" w:space="0" w:color="auto"/>
            </w:tcBorders>
            <w:shd w:val="clear" w:color="auto" w:fill="auto"/>
            <w:vAlign w:val="center"/>
            <w:hideMark/>
          </w:tcPr>
          <w:p w14:paraId="04092B4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6ECE6C2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15</w:t>
            </w:r>
          </w:p>
        </w:tc>
      </w:tr>
      <w:tr w:rsidR="00D44917" w:rsidRPr="003F64AF" w14:paraId="195FFAF4"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802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社会效益</w:t>
            </w:r>
          </w:p>
        </w:tc>
        <w:tc>
          <w:tcPr>
            <w:tcW w:w="686" w:type="pct"/>
            <w:tcBorders>
              <w:top w:val="nil"/>
              <w:left w:val="nil"/>
              <w:bottom w:val="single" w:sz="4" w:space="0" w:color="auto"/>
              <w:right w:val="single" w:sz="4" w:space="0" w:color="auto"/>
            </w:tcBorders>
            <w:shd w:val="clear" w:color="auto" w:fill="auto"/>
            <w:noWrap/>
            <w:vAlign w:val="center"/>
            <w:hideMark/>
          </w:tcPr>
          <w:p w14:paraId="6363A1C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041EF0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7C7AEB5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12A2D9E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0C8F03E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6594C41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1732F7F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3C7C40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20E9"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可持续发展能力</w:t>
            </w:r>
          </w:p>
        </w:tc>
        <w:tc>
          <w:tcPr>
            <w:tcW w:w="686" w:type="pct"/>
            <w:tcBorders>
              <w:top w:val="nil"/>
              <w:left w:val="nil"/>
              <w:bottom w:val="single" w:sz="4" w:space="0" w:color="auto"/>
              <w:right w:val="single" w:sz="4" w:space="0" w:color="auto"/>
            </w:tcBorders>
            <w:shd w:val="clear" w:color="auto" w:fill="auto"/>
            <w:noWrap/>
            <w:vAlign w:val="center"/>
            <w:hideMark/>
          </w:tcPr>
          <w:p w14:paraId="1B9A3B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6FAA0B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7F3376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28A0945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3367194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1542A76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391D84C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5C77CCC1"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6F5C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服务对象满意度</w:t>
            </w:r>
          </w:p>
        </w:tc>
        <w:tc>
          <w:tcPr>
            <w:tcW w:w="686" w:type="pct"/>
            <w:tcBorders>
              <w:top w:val="nil"/>
              <w:left w:val="nil"/>
              <w:bottom w:val="single" w:sz="4" w:space="0" w:color="auto"/>
              <w:right w:val="single" w:sz="4" w:space="0" w:color="auto"/>
            </w:tcBorders>
            <w:shd w:val="clear" w:color="auto" w:fill="auto"/>
            <w:noWrap/>
            <w:vAlign w:val="center"/>
            <w:hideMark/>
          </w:tcPr>
          <w:p w14:paraId="56FFE80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32751D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1F4B4A1"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33C26CA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44CE957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4449A1F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57D689F8"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bl>
    <w:p w14:paraId="748EBBFC" w14:textId="77777777" w:rsidR="00EE617E" w:rsidRPr="003F64AF" w:rsidRDefault="00000000">
      <w:pPr>
        <w:ind w:firstLineChars="200" w:firstLine="640"/>
        <w:jc w:val="left"/>
        <w:rPr>
          <w:rFonts w:ascii="黑体" w:eastAsia="黑体" w:hAnsi="黑体" w:cs="宋体" w:hint="eastAsia"/>
          <w:bCs/>
          <w:kern w:val="0"/>
          <w:sz w:val="32"/>
          <w:szCs w:val="32"/>
        </w:rPr>
      </w:pPr>
      <w:r w:rsidRPr="003F64AF">
        <w:rPr>
          <w:rFonts w:ascii="黑体" w:eastAsia="黑体" w:hAnsi="黑体" w:cs="宋体" w:hint="eastAsia"/>
          <w:bCs/>
          <w:kern w:val="0"/>
          <w:sz w:val="32"/>
          <w:szCs w:val="32"/>
        </w:rPr>
        <w:t>十二、其他需说明的事项</w:t>
      </w:r>
    </w:p>
    <w:p w14:paraId="22CEB406" w14:textId="00614102" w:rsidR="00EE617E" w:rsidRPr="003F64AF" w:rsidRDefault="00D21666">
      <w:pPr>
        <w:ind w:firstLineChars="200" w:firstLine="640"/>
        <w:jc w:val="left"/>
        <w:rPr>
          <w:rFonts w:ascii="仿宋_GB2312" w:eastAsia="仿宋_GB2312" w:hAnsi="仿宋_GB2312" w:cs="仿宋_GB2312" w:hint="eastAsia"/>
          <w:kern w:val="0"/>
          <w:sz w:val="32"/>
          <w:szCs w:val="32"/>
        </w:rPr>
      </w:pPr>
      <w:r w:rsidRPr="00D21666">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r w:rsidR="00D44917" w:rsidRPr="003F64AF">
        <w:rPr>
          <w:rFonts w:ascii="仿宋_GB2312" w:eastAsia="仿宋_GB2312" w:hAnsi="仿宋_GB2312" w:cs="仿宋_GB2312" w:hint="eastAsia"/>
          <w:kern w:val="0"/>
          <w:sz w:val="32"/>
          <w:szCs w:val="32"/>
        </w:rPr>
        <w:t>。</w:t>
      </w:r>
    </w:p>
    <w:p w14:paraId="3403ADC4" w14:textId="77777777" w:rsidR="00EE617E" w:rsidRPr="003F64AF" w:rsidRDefault="00000000">
      <w:pPr>
        <w:jc w:val="center"/>
        <w:outlineLvl w:val="0"/>
        <w:rPr>
          <w:rFonts w:ascii="黑体" w:eastAsia="黑体" w:hAnsi="黑体" w:hint="eastAsia"/>
          <w:sz w:val="32"/>
          <w:szCs w:val="32"/>
        </w:rPr>
      </w:pPr>
      <w:bookmarkStart w:id="30" w:name="_Toc3250"/>
      <w:bookmarkStart w:id="31" w:name="_Toc24143"/>
      <w:r w:rsidRPr="003F64AF">
        <w:rPr>
          <w:rFonts w:ascii="黑体" w:eastAsia="黑体" w:hAnsi="黑体" w:hint="eastAsia"/>
          <w:sz w:val="32"/>
          <w:szCs w:val="32"/>
        </w:rPr>
        <w:br w:type="page"/>
      </w:r>
      <w:r w:rsidRPr="003F64AF">
        <w:rPr>
          <w:rFonts w:ascii="黑体" w:eastAsia="黑体" w:hAnsi="黑体" w:hint="eastAsia"/>
          <w:sz w:val="32"/>
          <w:szCs w:val="32"/>
        </w:rPr>
        <w:lastRenderedPageBreak/>
        <w:t>第三部分 专业名词解释</w:t>
      </w:r>
      <w:bookmarkEnd w:id="30"/>
      <w:bookmarkEnd w:id="31"/>
    </w:p>
    <w:p w14:paraId="0C2E0CF3"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一、财政拨款收入：</w:t>
      </w:r>
      <w:r w:rsidRPr="003F64AF">
        <w:rPr>
          <w:rFonts w:ascii="仿宋_GB2312" w:eastAsia="仿宋_GB2312" w:hint="eastAsia"/>
          <w:sz w:val="32"/>
          <w:szCs w:val="32"/>
        </w:rPr>
        <w:t>指同级财政当年拨付的资金。</w:t>
      </w:r>
    </w:p>
    <w:p w14:paraId="5DB38A76"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二、上级补助收入：</w:t>
      </w:r>
      <w:r w:rsidRPr="003F64AF">
        <w:rPr>
          <w:rFonts w:ascii="仿宋_GB2312" w:eastAsia="仿宋_GB2312" w:hint="eastAsia"/>
          <w:sz w:val="32"/>
          <w:szCs w:val="32"/>
        </w:rPr>
        <w:t>指事业单位从主管部门和上级单位取得的非财政补助收入。</w:t>
      </w:r>
    </w:p>
    <w:p w14:paraId="4BD3B5F2"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三、事业收入：</w:t>
      </w:r>
      <w:r w:rsidRPr="003F64AF">
        <w:rPr>
          <w:rFonts w:ascii="仿宋_GB2312" w:eastAsia="仿宋_GB2312" w:hint="eastAsia"/>
          <w:sz w:val="32"/>
          <w:szCs w:val="32"/>
        </w:rPr>
        <w:t>指事业单位开展专业业务活动及其辅助活动所取得的收入。</w:t>
      </w:r>
    </w:p>
    <w:p w14:paraId="13F7E00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四、经营收入：</w:t>
      </w:r>
      <w:r w:rsidRPr="003F64AF">
        <w:rPr>
          <w:rFonts w:ascii="仿宋_GB2312" w:eastAsia="仿宋_GB2312" w:hint="eastAsia"/>
          <w:sz w:val="32"/>
          <w:szCs w:val="32"/>
        </w:rPr>
        <w:t>指事业单位在专业业务活动及其辅助活动之外开展非独立核算经营活动取得的收入。</w:t>
      </w:r>
    </w:p>
    <w:p w14:paraId="275A4197"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五、附属单位上缴收入：</w:t>
      </w:r>
      <w:r w:rsidRPr="003F64AF">
        <w:rPr>
          <w:rFonts w:ascii="仿宋_GB2312" w:eastAsia="仿宋_GB2312" w:hint="eastAsia"/>
          <w:sz w:val="32"/>
          <w:szCs w:val="32"/>
        </w:rPr>
        <w:t>指事业单位附属的独立核算单位按有关规定上缴的收入。</w:t>
      </w:r>
    </w:p>
    <w:p w14:paraId="4C92F78D"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六、其他收入：</w:t>
      </w:r>
      <w:r w:rsidRPr="003F64AF">
        <w:rPr>
          <w:rFonts w:ascii="仿宋_GB2312" w:eastAsia="仿宋_GB2312" w:hint="eastAsia"/>
          <w:sz w:val="32"/>
          <w:szCs w:val="32"/>
        </w:rPr>
        <w:t>指除上述“财政拨款收入”、“事业收入”、“经营收入”、“附属单位上缴收入”等之外取得的收入。</w:t>
      </w:r>
    </w:p>
    <w:p w14:paraId="3D2FB0D1"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七、年初结转和结余：</w:t>
      </w:r>
      <w:r w:rsidRPr="003F64A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99F1E89"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八、年末结转和结余：</w:t>
      </w:r>
      <w:r w:rsidRPr="003F64A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635B1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九、基本支出：</w:t>
      </w:r>
      <w:r w:rsidRPr="003F64AF">
        <w:rPr>
          <w:rFonts w:ascii="仿宋_GB2312" w:eastAsia="仿宋_GB2312" w:hint="eastAsia"/>
          <w:sz w:val="32"/>
          <w:szCs w:val="32"/>
        </w:rPr>
        <w:t>指为保障机构正常运转、完成日常工作</w:t>
      </w:r>
      <w:r w:rsidRPr="003F64AF">
        <w:rPr>
          <w:rFonts w:ascii="仿宋_GB2312" w:eastAsia="仿宋_GB2312" w:hint="eastAsia"/>
          <w:sz w:val="32"/>
          <w:szCs w:val="32"/>
        </w:rPr>
        <w:lastRenderedPageBreak/>
        <w:t>任务而发生的人员支出和公用支出。</w:t>
      </w:r>
    </w:p>
    <w:p w14:paraId="36AA5BB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十、项目支出：</w:t>
      </w:r>
      <w:r w:rsidRPr="003F64AF">
        <w:rPr>
          <w:rFonts w:ascii="仿宋_GB2312" w:eastAsia="仿宋_GB2312" w:hint="eastAsia"/>
          <w:sz w:val="32"/>
          <w:szCs w:val="32"/>
        </w:rPr>
        <w:t>指在基本支出之外为完成特定行政任务和事业发展目标所发生的支出。</w:t>
      </w:r>
    </w:p>
    <w:p w14:paraId="408D7DEE"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十一、经营支出：</w:t>
      </w:r>
      <w:r w:rsidRPr="003F64AF">
        <w:rPr>
          <w:rFonts w:ascii="仿宋_GB2312" w:eastAsia="仿宋_GB2312" w:hint="eastAsia"/>
          <w:sz w:val="32"/>
          <w:szCs w:val="32"/>
        </w:rPr>
        <w:t>指事业单位在专业业务活动及其辅助活动之外开展非独立核算经营活动发生的支出。</w:t>
      </w:r>
    </w:p>
    <w:p w14:paraId="0F24F65F"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十二、对附属单位补助支出：</w:t>
      </w:r>
      <w:r w:rsidRPr="003F64AF">
        <w:rPr>
          <w:rFonts w:ascii="仿宋_GB2312" w:eastAsia="仿宋_GB2312" w:hint="eastAsia"/>
          <w:sz w:val="32"/>
          <w:szCs w:val="32"/>
        </w:rPr>
        <w:t>指事业单位发生的用非财政预算资金对附属单位的补助支出。</w:t>
      </w:r>
    </w:p>
    <w:p w14:paraId="180C4500"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十三、“三公”经费：</w:t>
      </w:r>
      <w:r w:rsidRPr="003F64A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BFC41A" w14:textId="77777777" w:rsidR="00EE617E" w:rsidRPr="003F64AF" w:rsidRDefault="00000000">
      <w:pPr>
        <w:ind w:firstLineChars="200" w:firstLine="643"/>
        <w:rPr>
          <w:rFonts w:ascii="仿宋_GB2312" w:eastAsia="仿宋_GB2312"/>
          <w:sz w:val="32"/>
          <w:szCs w:val="32"/>
        </w:rPr>
      </w:pPr>
      <w:r w:rsidRPr="003F64AF">
        <w:rPr>
          <w:rFonts w:ascii="仿宋_GB2312" w:eastAsia="仿宋_GB2312" w:hint="eastAsia"/>
          <w:b/>
          <w:bCs/>
          <w:sz w:val="32"/>
          <w:szCs w:val="32"/>
        </w:rPr>
        <w:t>十四、机关运行经费：</w:t>
      </w:r>
      <w:r w:rsidRPr="003F64AF">
        <w:rPr>
          <w:rFonts w:ascii="仿宋_GB2312" w:eastAsia="仿宋_GB2312" w:hint="eastAsia"/>
          <w:sz w:val="32"/>
          <w:szCs w:val="32"/>
        </w:rPr>
        <w:t>行政单位和参照公务员法管理的事业单位财政拨款基本支出中的公用经费支出。</w:t>
      </w:r>
    </w:p>
    <w:p w14:paraId="3CD2EEA4" w14:textId="77777777" w:rsidR="00EE617E" w:rsidRPr="003F64AF" w:rsidRDefault="00000000">
      <w:pPr>
        <w:ind w:firstLineChars="200" w:firstLine="640"/>
        <w:jc w:val="center"/>
        <w:outlineLvl w:val="0"/>
        <w:rPr>
          <w:rFonts w:ascii="黑体" w:eastAsia="黑体" w:hAnsi="黑体" w:hint="eastAsia"/>
          <w:sz w:val="32"/>
          <w:szCs w:val="32"/>
        </w:rPr>
      </w:pPr>
      <w:r w:rsidRPr="003F64AF">
        <w:rPr>
          <w:rFonts w:ascii="仿宋_GB2312" w:eastAsia="仿宋_GB2312" w:hint="eastAsia"/>
          <w:sz w:val="32"/>
          <w:szCs w:val="32"/>
        </w:rPr>
        <w:br w:type="page"/>
      </w:r>
      <w:r w:rsidRPr="003F64AF">
        <w:rPr>
          <w:rFonts w:ascii="黑体" w:eastAsia="黑体" w:hAnsi="黑体" w:hint="eastAsia"/>
          <w:sz w:val="32"/>
          <w:szCs w:val="32"/>
        </w:rPr>
        <w:lastRenderedPageBreak/>
        <w:t>第四部分 部门决算报表（见附表）</w:t>
      </w:r>
    </w:p>
    <w:p w14:paraId="0319D137"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F64AF">
        <w:rPr>
          <w:rFonts w:ascii="黑体" w:eastAsia="仿宋_GB2312" w:hAnsi="黑体" w:cs="宋体" w:hint="eastAsia"/>
          <w:bCs/>
          <w:kern w:val="0"/>
          <w:sz w:val="32"/>
          <w:szCs w:val="32"/>
        </w:rPr>
        <w:t>一、《收入支出决算总表》</w:t>
      </w:r>
      <w:bookmarkEnd w:id="32"/>
      <w:bookmarkEnd w:id="33"/>
    </w:p>
    <w:p w14:paraId="107BD0F9"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F64AF">
        <w:rPr>
          <w:rFonts w:ascii="黑体" w:eastAsia="仿宋_GB2312" w:hAnsi="黑体" w:cs="宋体" w:hint="eastAsia"/>
          <w:bCs/>
          <w:kern w:val="0"/>
          <w:sz w:val="32"/>
          <w:szCs w:val="32"/>
        </w:rPr>
        <w:t>二、《收入决算表》</w:t>
      </w:r>
      <w:bookmarkEnd w:id="34"/>
      <w:bookmarkEnd w:id="35"/>
    </w:p>
    <w:p w14:paraId="790C9774"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F64AF">
        <w:rPr>
          <w:rFonts w:ascii="黑体" w:eastAsia="仿宋_GB2312" w:hAnsi="黑体" w:cs="宋体" w:hint="eastAsia"/>
          <w:bCs/>
          <w:kern w:val="0"/>
          <w:sz w:val="32"/>
          <w:szCs w:val="32"/>
        </w:rPr>
        <w:t>三、《支出决算表》</w:t>
      </w:r>
      <w:bookmarkEnd w:id="36"/>
      <w:bookmarkEnd w:id="37"/>
    </w:p>
    <w:p w14:paraId="731B3A6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F64AF">
        <w:rPr>
          <w:rFonts w:ascii="黑体" w:eastAsia="仿宋_GB2312" w:hAnsi="黑体" w:cs="宋体" w:hint="eastAsia"/>
          <w:bCs/>
          <w:kern w:val="0"/>
          <w:sz w:val="32"/>
          <w:szCs w:val="32"/>
        </w:rPr>
        <w:t>四、《财政拨款收入支出决算总表》</w:t>
      </w:r>
      <w:bookmarkEnd w:id="38"/>
      <w:bookmarkEnd w:id="39"/>
    </w:p>
    <w:p w14:paraId="769D0FAE"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F64AF">
        <w:rPr>
          <w:rFonts w:ascii="黑体" w:eastAsia="仿宋_GB2312" w:hAnsi="黑体" w:cs="宋体" w:hint="eastAsia"/>
          <w:bCs/>
          <w:kern w:val="0"/>
          <w:sz w:val="32"/>
          <w:szCs w:val="32"/>
        </w:rPr>
        <w:t>五、《一般公共预算财政拨款支出决算表》</w:t>
      </w:r>
      <w:bookmarkEnd w:id="40"/>
      <w:bookmarkEnd w:id="41"/>
    </w:p>
    <w:p w14:paraId="026F8D50"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F64AF">
        <w:rPr>
          <w:rFonts w:ascii="黑体" w:eastAsia="仿宋_GB2312" w:hAnsi="黑体" w:cs="宋体" w:hint="eastAsia"/>
          <w:bCs/>
          <w:kern w:val="0"/>
          <w:sz w:val="32"/>
          <w:szCs w:val="32"/>
        </w:rPr>
        <w:t>六、《一般公共预算财政拨款基本支出决算表》</w:t>
      </w:r>
      <w:bookmarkEnd w:id="42"/>
      <w:bookmarkEnd w:id="43"/>
    </w:p>
    <w:p w14:paraId="0C8CD65C" w14:textId="77777777" w:rsidR="00EE617E" w:rsidRPr="003F64AF"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七、</w:t>
      </w:r>
      <w:bookmarkStart w:id="44" w:name="_Toc29106"/>
      <w:bookmarkStart w:id="45" w:name="_Toc32663"/>
      <w:r w:rsidRPr="003F64AF">
        <w:rPr>
          <w:rFonts w:ascii="黑体" w:eastAsia="仿宋_GB2312" w:hAnsi="黑体" w:cs="宋体" w:hint="eastAsia"/>
          <w:bCs/>
          <w:kern w:val="0"/>
          <w:sz w:val="32"/>
          <w:szCs w:val="32"/>
        </w:rPr>
        <w:t>《财政拨款“三公”经费支出决算表》</w:t>
      </w:r>
      <w:bookmarkEnd w:id="44"/>
      <w:bookmarkEnd w:id="45"/>
    </w:p>
    <w:p w14:paraId="120845E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F64AF">
        <w:rPr>
          <w:rFonts w:ascii="黑体" w:eastAsia="仿宋_GB2312" w:hAnsi="黑体" w:cs="宋体" w:hint="eastAsia"/>
          <w:bCs/>
          <w:kern w:val="0"/>
          <w:sz w:val="32"/>
          <w:szCs w:val="32"/>
        </w:rPr>
        <w:t>八、《政府性基金预算财政拨款收入支出决算表》</w:t>
      </w:r>
      <w:bookmarkEnd w:id="46"/>
      <w:bookmarkEnd w:id="47"/>
    </w:p>
    <w:p w14:paraId="626EFF35" w14:textId="77777777" w:rsidR="00EE617E"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九、《国有资本经营预算财政拨款收入支出决算表》</w:t>
      </w:r>
    </w:p>
    <w:p w14:paraId="574183B5" w14:textId="77777777" w:rsidR="00EE617E" w:rsidRDefault="00EE617E">
      <w:pPr>
        <w:ind w:firstLineChars="200" w:firstLine="640"/>
        <w:rPr>
          <w:rFonts w:ascii="仿宋_GB2312" w:eastAsia="仿宋_GB2312"/>
          <w:sz w:val="32"/>
          <w:szCs w:val="32"/>
        </w:rPr>
      </w:pPr>
    </w:p>
    <w:p w14:paraId="0766AB0C" w14:textId="77777777" w:rsidR="00EE617E" w:rsidRDefault="00EE617E">
      <w:pPr>
        <w:ind w:firstLineChars="200" w:firstLine="640"/>
        <w:outlineLvl w:val="1"/>
        <w:rPr>
          <w:rFonts w:ascii="黑体" w:eastAsia="黑体" w:hAnsi="黑体" w:cs="宋体" w:hint="eastAsia"/>
          <w:bCs/>
          <w:kern w:val="0"/>
          <w:sz w:val="32"/>
          <w:szCs w:val="32"/>
        </w:rPr>
      </w:pPr>
    </w:p>
    <w:sectPr w:rsidR="00EE617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18765" w14:textId="77777777" w:rsidR="00211BD1" w:rsidRDefault="00211BD1">
      <w:r>
        <w:separator/>
      </w:r>
    </w:p>
  </w:endnote>
  <w:endnote w:type="continuationSeparator" w:id="0">
    <w:p w14:paraId="06375250" w14:textId="77777777" w:rsidR="00211BD1" w:rsidRDefault="0021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29C59" w14:textId="77777777" w:rsidR="00EE617E" w:rsidRDefault="00000000">
    <w:pPr>
      <w:pStyle w:val="a4"/>
    </w:pPr>
    <w:r>
      <w:rPr>
        <w:noProof/>
      </w:rPr>
      <mc:AlternateContent>
        <mc:Choice Requires="wps">
          <w:drawing>
            <wp:anchor distT="0" distB="0" distL="114300" distR="114300" simplePos="0" relativeHeight="251658752" behindDoc="0" locked="0" layoutInCell="1" allowOverlap="1" wp14:anchorId="4543D275" wp14:editId="55ED99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3D27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9F5D6" w14:textId="77777777" w:rsidR="00211BD1" w:rsidRDefault="00211BD1">
      <w:r>
        <w:separator/>
      </w:r>
    </w:p>
  </w:footnote>
  <w:footnote w:type="continuationSeparator" w:id="0">
    <w:p w14:paraId="1700F47C" w14:textId="77777777" w:rsidR="00211BD1" w:rsidRDefault="00211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6633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E617E"/>
    <w:rsid w:val="001F4B67"/>
    <w:rsid w:val="00211BD1"/>
    <w:rsid w:val="00213C59"/>
    <w:rsid w:val="003210CE"/>
    <w:rsid w:val="003F64AF"/>
    <w:rsid w:val="004458DB"/>
    <w:rsid w:val="00451D7E"/>
    <w:rsid w:val="0056690F"/>
    <w:rsid w:val="0061584A"/>
    <w:rsid w:val="006A1F22"/>
    <w:rsid w:val="007D2B8A"/>
    <w:rsid w:val="007F4231"/>
    <w:rsid w:val="00850153"/>
    <w:rsid w:val="009009B5"/>
    <w:rsid w:val="00A118FC"/>
    <w:rsid w:val="00AB47B5"/>
    <w:rsid w:val="00B70D59"/>
    <w:rsid w:val="00B92A22"/>
    <w:rsid w:val="00C232EA"/>
    <w:rsid w:val="00D21666"/>
    <w:rsid w:val="00D44917"/>
    <w:rsid w:val="00DF520C"/>
    <w:rsid w:val="00EE6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BF785"/>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1132</Words>
  <Characters>6458</Characters>
  <Application>Microsoft Office Word</Application>
  <DocSecurity>0</DocSecurity>
  <Lines>53</Lines>
  <Paragraphs>15</Paragraphs>
  <ScaleCrop>false</ScaleCrop>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